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方正小标宋简体" w:hAnsi="方正小标宋简体" w:eastAsia="方正小标宋简体" w:cs="方正小标宋简体"/>
          <w:b w:val="0"/>
          <w:bCs w:val="0"/>
          <w:i w:val="0"/>
          <w:iCs w:val="0"/>
          <w:caps w:val="0"/>
          <w:snapToGrid w:val="0"/>
          <w:color w:val="333333"/>
          <w:spacing w:val="0"/>
          <w:kern w:val="0"/>
          <w:sz w:val="44"/>
          <w:szCs w:val="44"/>
          <w:lang w:val="en-US" w:eastAsia="zh-CN"/>
        </w:rPr>
      </w:pPr>
    </w:p>
    <w:p>
      <w:pPr>
        <w:spacing w:line="600" w:lineRule="exact"/>
        <w:jc w:val="center"/>
        <w:rPr>
          <w:rFonts w:hint="eastAsia" w:ascii="方正小标宋简体" w:hAnsi="方正小标宋简体" w:eastAsia="方正小标宋简体" w:cs="方正小标宋简体"/>
          <w:b w:val="0"/>
          <w:bCs w:val="0"/>
          <w:i w:val="0"/>
          <w:iCs w:val="0"/>
          <w:caps w:val="0"/>
          <w:snapToGrid w:val="0"/>
          <w:color w:val="333333"/>
          <w:spacing w:val="0"/>
          <w:kern w:val="0"/>
          <w:sz w:val="44"/>
          <w:szCs w:val="44"/>
          <w:lang w:val="en-US" w:eastAsia="zh-CN"/>
        </w:rPr>
      </w:pPr>
    </w:p>
    <w:p>
      <w:pPr>
        <w:spacing w:line="600" w:lineRule="exact"/>
        <w:jc w:val="center"/>
        <w:rPr>
          <w:rFonts w:hint="eastAsia" w:ascii="方正小标宋简体" w:hAnsi="方正小标宋简体" w:eastAsia="方正小标宋简体" w:cs="方正小标宋简体"/>
          <w:b w:val="0"/>
          <w:bCs w:val="0"/>
          <w:i w:val="0"/>
          <w:iCs w:val="0"/>
          <w:caps w:val="0"/>
          <w:snapToGrid w:val="0"/>
          <w:color w:val="333333"/>
          <w:spacing w:val="0"/>
          <w:kern w:val="0"/>
          <w:sz w:val="44"/>
          <w:szCs w:val="44"/>
        </w:rPr>
      </w:pPr>
      <w:r>
        <w:rPr>
          <w:rFonts w:hint="eastAsia" w:ascii="方正小标宋简体" w:hAnsi="方正小标宋简体" w:eastAsia="方正小标宋简体" w:cs="方正小标宋简体"/>
          <w:b w:val="0"/>
          <w:bCs w:val="0"/>
          <w:i w:val="0"/>
          <w:iCs w:val="0"/>
          <w:caps w:val="0"/>
          <w:snapToGrid w:val="0"/>
          <w:color w:val="333333"/>
          <w:spacing w:val="0"/>
          <w:kern w:val="0"/>
          <w:sz w:val="44"/>
          <w:szCs w:val="44"/>
          <w:lang w:val="en-US" w:eastAsia="zh-CN"/>
        </w:rPr>
        <w:t>淄博市人民政府国有资产监督管理委员会</w:t>
      </w:r>
      <w:r>
        <w:rPr>
          <w:rFonts w:hint="eastAsia" w:ascii="方正小标宋简体" w:hAnsi="方正小标宋简体" w:eastAsia="方正小标宋简体" w:cs="方正小标宋简体"/>
          <w:b w:val="0"/>
          <w:bCs w:val="0"/>
          <w:i w:val="0"/>
          <w:iCs w:val="0"/>
          <w:caps w:val="0"/>
          <w:snapToGrid w:val="0"/>
          <w:color w:val="333333"/>
          <w:spacing w:val="0"/>
          <w:kern w:val="0"/>
          <w:sz w:val="44"/>
          <w:szCs w:val="44"/>
        </w:rPr>
        <w:t>202</w:t>
      </w:r>
      <w:r>
        <w:rPr>
          <w:rFonts w:hint="eastAsia" w:ascii="方正小标宋简体" w:hAnsi="方正小标宋简体" w:eastAsia="方正小标宋简体" w:cs="方正小标宋简体"/>
          <w:b w:val="0"/>
          <w:bCs w:val="0"/>
          <w:i w:val="0"/>
          <w:iCs w:val="0"/>
          <w:caps w:val="0"/>
          <w:snapToGrid w:val="0"/>
          <w:color w:val="333333"/>
          <w:spacing w:val="0"/>
          <w:kern w:val="0"/>
          <w:sz w:val="44"/>
          <w:szCs w:val="44"/>
          <w:lang w:val="en-US" w:eastAsia="zh-CN"/>
        </w:rPr>
        <w:t>1</w:t>
      </w:r>
      <w:r>
        <w:rPr>
          <w:rFonts w:hint="eastAsia" w:ascii="方正小标宋简体" w:hAnsi="方正小标宋简体" w:eastAsia="方正小标宋简体" w:cs="方正小标宋简体"/>
          <w:b w:val="0"/>
          <w:bCs w:val="0"/>
          <w:i w:val="0"/>
          <w:iCs w:val="0"/>
          <w:caps w:val="0"/>
          <w:snapToGrid w:val="0"/>
          <w:color w:val="333333"/>
          <w:spacing w:val="0"/>
          <w:kern w:val="0"/>
          <w:sz w:val="44"/>
          <w:szCs w:val="44"/>
        </w:rPr>
        <w:t>年度政府信息公开工作年度报告</w:t>
      </w:r>
    </w:p>
    <w:p>
      <w:pPr>
        <w:ind w:firstLine="660" w:firstLineChars="200"/>
        <w:rPr>
          <w:rStyle w:val="5"/>
          <w:rFonts w:ascii="微软雅黑" w:hAnsi="微软雅黑" w:eastAsia="微软雅黑" w:cs="微软雅黑"/>
          <w:b/>
          <w:bCs/>
          <w:i w:val="0"/>
          <w:iCs w:val="0"/>
          <w:caps w:val="0"/>
          <w:color w:val="333333"/>
          <w:spacing w:val="0"/>
          <w:sz w:val="33"/>
          <w:szCs w:val="33"/>
          <w:shd w:val="clear" w:color="auto" w:fill="FFFFFF"/>
        </w:rPr>
      </w:pPr>
    </w:p>
    <w:p>
      <w:pPr>
        <w:ind w:firstLine="660" w:firstLineChars="200"/>
        <w:rPr>
          <w:rFonts w:hint="eastAsia" w:ascii="仿宋_GB2312" w:hAnsi="仿宋_GB2312" w:eastAsia="仿宋_GB2312" w:cs="仿宋_GB2312"/>
          <w:sz w:val="32"/>
          <w:szCs w:val="32"/>
          <w:lang w:val="en-US" w:eastAsia="zh-CN"/>
        </w:rPr>
      </w:pPr>
      <w:r>
        <w:rPr>
          <w:rStyle w:val="5"/>
          <w:rFonts w:ascii="微软雅黑" w:hAnsi="微软雅黑" w:eastAsia="微软雅黑" w:cs="微软雅黑"/>
          <w:b/>
          <w:bCs/>
          <w:i w:val="0"/>
          <w:iCs w:val="0"/>
          <w:caps w:val="0"/>
          <w:color w:val="333333"/>
          <w:spacing w:val="0"/>
          <w:sz w:val="33"/>
          <w:szCs w:val="33"/>
          <w:shd w:val="clear" w:color="auto" w:fill="FFFFFF"/>
        </w:rPr>
        <w:t> </w:t>
      </w:r>
      <w:r>
        <w:rPr>
          <w:rFonts w:hint="eastAsia" w:ascii="仿宋_GB2312" w:hAnsi="仿宋_GB2312" w:eastAsia="仿宋_GB2312" w:cs="仿宋_GB2312"/>
          <w:sz w:val="32"/>
          <w:szCs w:val="32"/>
          <w:lang w:val="en-US" w:eastAsia="zh-CN"/>
        </w:rPr>
        <w:t>根据《中华人民共和国政府信息公开条例》、国务院办公厅《关于政府信息公开工作年度报告有关事项的通知》和市政府办公室《关于做好</w:t>
      </w:r>
      <w:r>
        <w:rPr>
          <w:rFonts w:hint="default" w:ascii="Times New Roman" w:hAnsi="Times New Roman" w:eastAsia="仿宋_GB2312" w:cs="Times New Roman"/>
          <w:sz w:val="32"/>
          <w:szCs w:val="32"/>
          <w:lang w:val="en-US" w:eastAsia="zh-CN"/>
        </w:rPr>
        <w:t>2021年政府信息公开工作年度报告编制和发布工作的通知》要求，现将</w:t>
      </w:r>
      <w:r>
        <w:rPr>
          <w:rFonts w:hint="eastAsia" w:ascii="Times New Roman" w:hAnsi="Times New Roman" w:eastAsia="仿宋_GB2312" w:cs="Times New Roman"/>
          <w:sz w:val="32"/>
          <w:szCs w:val="32"/>
          <w:lang w:val="en-US" w:eastAsia="zh-CN"/>
        </w:rPr>
        <w:t>市国资委</w:t>
      </w:r>
      <w:r>
        <w:rPr>
          <w:rFonts w:hint="default" w:ascii="Times New Roman" w:hAnsi="Times New Roman" w:eastAsia="仿宋_GB2312" w:cs="Times New Roman"/>
          <w:sz w:val="32"/>
          <w:szCs w:val="32"/>
          <w:lang w:val="en-US" w:eastAsia="zh-CN"/>
        </w:rPr>
        <w:t>2021年度政府信息公开工作情况报告如下。如对本年度报告有任何疑问，请联系淄博市国资委办公室，联系电话：</w:t>
      </w:r>
      <w:r>
        <w:rPr>
          <w:rFonts w:hint="eastAsia" w:ascii="Times New Roman" w:hAnsi="Times New Roman" w:eastAsia="仿宋_GB2312" w:cs="Times New Roman"/>
          <w:sz w:val="32"/>
          <w:szCs w:val="32"/>
          <w:lang w:val="en-US" w:eastAsia="zh-CN"/>
        </w:rPr>
        <w:t>0533-2950832，</w:t>
      </w:r>
      <w:r>
        <w:rPr>
          <w:rFonts w:hint="default" w:ascii="Times New Roman" w:hAnsi="Times New Roman" w:eastAsia="仿宋_GB2312" w:cs="Times New Roman"/>
          <w:sz w:val="32"/>
          <w:szCs w:val="32"/>
          <w:lang w:val="en-US" w:eastAsia="zh-CN"/>
        </w:rPr>
        <w:t>0533-2950007，地址：淄博市张店区联通路118号303</w:t>
      </w:r>
      <w:r>
        <w:rPr>
          <w:rFonts w:hint="eastAsia" w:ascii="仿宋_GB2312" w:hAnsi="仿宋_GB2312" w:eastAsia="仿宋_GB2312" w:cs="仿宋_GB2312"/>
          <w:sz w:val="32"/>
          <w:szCs w:val="32"/>
          <w:lang w:val="en-US" w:eastAsia="zh-CN"/>
        </w:rPr>
        <w:t>室。</w:t>
      </w:r>
    </w:p>
    <w:p>
      <w:p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一、总体情况</w:t>
      </w:r>
    </w:p>
    <w:p>
      <w:pPr>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2021年，市国资委</w:t>
      </w:r>
      <w:r>
        <w:rPr>
          <w:rFonts w:hint="eastAsia" w:ascii="Times New Roman" w:hAnsi="Times New Roman" w:eastAsia="仿宋_GB2312" w:cs="Times New Roman"/>
          <w:sz w:val="32"/>
          <w:szCs w:val="32"/>
          <w:lang w:val="en-US" w:eastAsia="zh-CN"/>
        </w:rPr>
        <w:t>根据</w:t>
      </w:r>
      <w:r>
        <w:rPr>
          <w:rFonts w:hint="default" w:ascii="Times New Roman" w:hAnsi="Times New Roman" w:eastAsia="仿宋_GB2312" w:cs="Times New Roman"/>
          <w:sz w:val="32"/>
          <w:szCs w:val="32"/>
          <w:lang w:val="en-US" w:eastAsia="zh-CN"/>
        </w:rPr>
        <w:t>市政府有关工作要求，</w:t>
      </w:r>
      <w:r>
        <w:rPr>
          <w:rFonts w:hint="eastAsia" w:ascii="Times New Roman" w:hAnsi="Times New Roman" w:eastAsia="仿宋_GB2312" w:cs="Times New Roman"/>
          <w:sz w:val="32"/>
          <w:szCs w:val="32"/>
          <w:lang w:val="en-US" w:eastAsia="zh-CN"/>
        </w:rPr>
        <w:t>扎实开展政务公开工作</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努力做到</w:t>
      </w:r>
      <w:r>
        <w:rPr>
          <w:rFonts w:hint="eastAsia" w:ascii="仿宋_GB2312" w:hAnsi="仿宋_GB2312" w:eastAsia="仿宋_GB2312" w:cs="仿宋_GB2312"/>
          <w:sz w:val="32"/>
          <w:szCs w:val="32"/>
          <w:lang w:val="en-US" w:eastAsia="zh-CN"/>
        </w:rPr>
        <w:t>“应公开、尽公开”</w:t>
      </w:r>
      <w:r>
        <w:rPr>
          <w:rFonts w:hint="default" w:ascii="Times New Roman" w:hAnsi="Times New Roman" w:eastAsia="仿宋_GB2312" w:cs="Times New Roman"/>
          <w:sz w:val="32"/>
          <w:szCs w:val="32"/>
          <w:lang w:val="en-US" w:eastAsia="zh-CN"/>
        </w:rPr>
        <w:t>。</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rPr>
        <w:t>（一）主动公开情况。</w:t>
      </w:r>
      <w:r>
        <w:rPr>
          <w:rFonts w:hint="default" w:ascii="Times New Roman" w:hAnsi="Times New Roman" w:eastAsia="仿宋_GB2312" w:cs="Times New Roman"/>
          <w:sz w:val="32"/>
          <w:szCs w:val="32"/>
          <w:lang w:val="en-US" w:eastAsia="zh-CN"/>
        </w:rPr>
        <w:t>市国资委根据政务公开工作要求，结合国资国企监管工作实际，合理调整主动公开目录，完善公开内容，加强公开力度。</w:t>
      </w:r>
      <w:r>
        <w:rPr>
          <w:rFonts w:hint="eastAsia" w:ascii="Times New Roman" w:hAnsi="Times New Roman" w:eastAsia="仿宋_GB2312" w:cs="Times New Roman"/>
          <w:sz w:val="32"/>
          <w:szCs w:val="32"/>
          <w:lang w:val="en-US" w:eastAsia="zh-CN"/>
        </w:rPr>
        <w:t>加强企业财务信息、业绩考核、年度部门预决算等信息公开工作，全年网站主动公开信息98条，微信公众号公布信息545条。</w:t>
      </w:r>
      <w:r>
        <w:rPr>
          <w:rFonts w:hint="eastAsia" w:ascii="仿宋_GB2312" w:hAnsi="仿宋_GB2312" w:eastAsia="仿宋_GB2312" w:cs="仿宋_GB2312"/>
          <w:sz w:val="32"/>
          <w:szCs w:val="32"/>
          <w:lang w:val="en-US" w:eastAsia="zh-CN"/>
        </w:rPr>
        <w:t>制定《</w:t>
      </w:r>
      <w:r>
        <w:rPr>
          <w:rFonts w:hint="eastAsia" w:ascii="仿宋_GB2312" w:hAnsi="仿宋_GB2312" w:eastAsia="仿宋_GB2312" w:cs="仿宋_GB2312"/>
          <w:sz w:val="32"/>
          <w:szCs w:val="32"/>
          <w:lang w:eastAsia="zh-CN"/>
        </w:rPr>
        <w:t>淄博市</w:t>
      </w:r>
      <w:r>
        <w:rPr>
          <w:rFonts w:hint="eastAsia" w:ascii="仿宋_GB2312" w:hAnsi="仿宋_GB2312" w:eastAsia="仿宋_GB2312" w:cs="仿宋_GB2312"/>
          <w:sz w:val="32"/>
          <w:szCs w:val="32"/>
          <w:lang w:val="en-US" w:eastAsia="zh-CN"/>
        </w:rPr>
        <w:t>国资委</w:t>
      </w:r>
      <w:r>
        <w:rPr>
          <w:rFonts w:hint="eastAsia" w:ascii="仿宋_GB2312" w:hAnsi="仿宋_GB2312" w:eastAsia="仿宋_GB2312" w:cs="仿宋_GB2312"/>
          <w:sz w:val="32"/>
          <w:szCs w:val="32"/>
        </w:rPr>
        <w:t>政策文件解读实施方案</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规范</w:t>
      </w:r>
      <w:r>
        <w:rPr>
          <w:rFonts w:hint="eastAsia" w:ascii="仿宋_GB2312" w:hAnsi="仿宋_GB2312" w:eastAsia="仿宋_GB2312" w:cs="仿宋_GB2312"/>
          <w:sz w:val="32"/>
          <w:szCs w:val="32"/>
          <w:lang w:val="en-US" w:eastAsia="zh-CN"/>
        </w:rPr>
        <w:t>了</w:t>
      </w:r>
      <w:r>
        <w:rPr>
          <w:rFonts w:hint="eastAsia" w:ascii="仿宋_GB2312" w:hAnsi="仿宋_GB2312" w:eastAsia="仿宋_GB2312" w:cs="仿宋_GB2312"/>
          <w:sz w:val="32"/>
          <w:szCs w:val="32"/>
        </w:rPr>
        <w:t>政策文件的宣传解读工作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全年共发布政策解读信</w:t>
      </w:r>
      <w:r>
        <w:rPr>
          <w:rFonts w:hint="default" w:ascii="Times New Roman" w:hAnsi="Times New Roman" w:eastAsia="仿宋_GB2312" w:cs="Times New Roman"/>
          <w:sz w:val="32"/>
          <w:szCs w:val="32"/>
          <w:lang w:val="en-US" w:eastAsia="zh-CN"/>
        </w:rPr>
        <w:t>息11</w:t>
      </w:r>
      <w:r>
        <w:rPr>
          <w:rFonts w:hint="eastAsia" w:ascii="仿宋_GB2312" w:hAnsi="仿宋_GB2312" w:eastAsia="仿宋_GB2312" w:cs="仿宋_GB2312"/>
          <w:sz w:val="32"/>
          <w:szCs w:val="32"/>
          <w:lang w:val="en-US" w:eastAsia="zh-CN"/>
        </w:rPr>
        <w:t>件。</w:t>
      </w:r>
    </w:p>
    <w:p>
      <w:pPr>
        <w:pStyle w:val="2"/>
        <w:rPr>
          <w:rFonts w:hint="eastAsia"/>
          <w:lang w:val="en-US" w:eastAsia="zh-CN"/>
        </w:rPr>
      </w:pPr>
    </w:p>
    <w:p>
      <w:pPr>
        <w:pStyle w:val="2"/>
        <w:rPr>
          <w:rFonts w:hint="eastAsia"/>
          <w:lang w:val="en-US" w:eastAsia="zh-CN"/>
        </w:rPr>
      </w:pPr>
      <w:r>
        <w:drawing>
          <wp:inline distT="0" distB="0" distL="114300" distR="114300">
            <wp:extent cx="4572000" cy="2743200"/>
            <wp:effectExtent l="4445" t="4445" r="14605" b="14605"/>
            <wp:docPr id="6" name="图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Pr>
        <w:pStyle w:val="2"/>
        <w:rPr>
          <w:rFonts w:hint="eastAsia"/>
          <w:lang w:val="en-US" w:eastAsia="zh-CN"/>
        </w:rPr>
      </w:pPr>
    </w:p>
    <w:p>
      <w:pPr>
        <w:pStyle w:val="2"/>
        <w:rPr>
          <w:rFonts w:hint="eastAsia"/>
          <w:lang w:val="en-US" w:eastAsia="zh-CN"/>
        </w:rPr>
      </w:pPr>
      <w:r>
        <w:drawing>
          <wp:anchor distT="0" distB="0" distL="114300" distR="114300" simplePos="0" relativeHeight="251662336" behindDoc="0" locked="0" layoutInCell="1" allowOverlap="1">
            <wp:simplePos x="0" y="0"/>
            <wp:positionH relativeFrom="column">
              <wp:posOffset>-47625</wp:posOffset>
            </wp:positionH>
            <wp:positionV relativeFrom="paragraph">
              <wp:posOffset>60960</wp:posOffset>
            </wp:positionV>
            <wp:extent cx="5263515" cy="4393565"/>
            <wp:effectExtent l="0" t="0" r="13335" b="6985"/>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263515" cy="4393565"/>
                    </a:xfrm>
                    <a:prstGeom prst="rect">
                      <a:avLst/>
                    </a:prstGeom>
                    <a:noFill/>
                    <a:ln>
                      <a:noFill/>
                    </a:ln>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ind w:left="0" w:leftChars="0" w:firstLine="0" w:firstLineChars="0"/>
        <w:rPr>
          <w:rFonts w:hint="eastAsia"/>
          <w:lang w:val="en-US" w:eastAsia="zh-CN"/>
        </w:rPr>
      </w:pPr>
      <w:bookmarkStart w:id="0" w:name="_GoBack"/>
      <w:bookmarkEnd w:id="0"/>
    </w:p>
    <w:p>
      <w:pPr>
        <w:pStyle w:val="2"/>
        <w:rPr>
          <w:rFonts w:hint="eastAsia"/>
          <w:lang w:val="en-US" w:eastAsia="zh-CN"/>
        </w:rPr>
      </w:pPr>
      <w:r>
        <w:drawing>
          <wp:anchor distT="0" distB="0" distL="114300" distR="114300" simplePos="0" relativeHeight="251661312" behindDoc="0" locked="0" layoutInCell="1" allowOverlap="1">
            <wp:simplePos x="0" y="0"/>
            <wp:positionH relativeFrom="column">
              <wp:posOffset>-47625</wp:posOffset>
            </wp:positionH>
            <wp:positionV relativeFrom="paragraph">
              <wp:posOffset>4272915</wp:posOffset>
            </wp:positionV>
            <wp:extent cx="5267960" cy="4824730"/>
            <wp:effectExtent l="0" t="0" r="8890" b="13970"/>
            <wp:wrapTopAndBottom/>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5267960" cy="482473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-57150</wp:posOffset>
            </wp:positionH>
            <wp:positionV relativeFrom="paragraph">
              <wp:posOffset>-229235</wp:posOffset>
            </wp:positionV>
            <wp:extent cx="5266690" cy="4450080"/>
            <wp:effectExtent l="0" t="0" r="10160" b="7620"/>
            <wp:wrapTopAndBottom/>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5266690" cy="4450080"/>
                    </a:xfrm>
                    <a:prstGeom prst="rect">
                      <a:avLst/>
                    </a:prstGeom>
                    <a:noFill/>
                    <a:ln>
                      <a:noFill/>
                    </a:ln>
                  </pic:spPr>
                </pic:pic>
              </a:graphicData>
            </a:graphic>
          </wp:anchor>
        </w:drawing>
      </w:r>
    </w:p>
    <w:p>
      <w:pPr>
        <w:numPr>
          <w:ilvl w:val="0"/>
          <w:numId w:val="0"/>
        </w:numPr>
        <w:ind w:firstLine="640" w:firstLineChars="200"/>
        <w:rPr>
          <w:rFonts w:hint="default" w:ascii="Times New Roman" w:hAnsi="Times New Roman" w:eastAsia="仿宋_GB2312" w:cs="Times New Roman"/>
          <w:sz w:val="32"/>
          <w:szCs w:val="32"/>
          <w:lang w:val="en-US" w:eastAsia="zh-CN"/>
        </w:rPr>
      </w:pPr>
      <w:r>
        <w:rPr>
          <w:rFonts w:hint="default" w:ascii="楷体" w:hAnsi="楷体" w:eastAsia="楷体" w:cs="楷体"/>
          <w:sz w:val="32"/>
          <w:szCs w:val="32"/>
          <w:lang w:val="en-US" w:eastAsia="zh-CN"/>
        </w:rPr>
        <w:t>（二）依申请公开情况。</w:t>
      </w:r>
      <w:r>
        <w:rPr>
          <w:rFonts w:hint="default" w:ascii="Times New Roman" w:hAnsi="Times New Roman" w:eastAsia="仿宋_GB2312" w:cs="Times New Roman"/>
          <w:sz w:val="32"/>
          <w:szCs w:val="32"/>
          <w:lang w:val="en-US" w:eastAsia="zh-CN"/>
        </w:rPr>
        <w:t>2021年，市国资委共收到政府信息公开申请3件</w:t>
      </w:r>
      <w:r>
        <w:rPr>
          <w:rFonts w:hint="eastAsia" w:ascii="Times New Roman" w:hAnsi="Times New Roman" w:eastAsia="仿宋_GB2312" w:cs="Times New Roman"/>
          <w:sz w:val="32"/>
          <w:szCs w:val="32"/>
          <w:lang w:val="en-US" w:eastAsia="zh-CN"/>
        </w:rPr>
        <w:t>（与2020年持平）</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均</w:t>
      </w:r>
      <w:r>
        <w:rPr>
          <w:rFonts w:hint="default" w:ascii="Times New Roman" w:hAnsi="Times New Roman" w:eastAsia="仿宋_GB2312" w:cs="Times New Roman"/>
          <w:sz w:val="32"/>
          <w:szCs w:val="32"/>
          <w:lang w:val="en-US" w:eastAsia="zh-CN"/>
        </w:rPr>
        <w:t>已经按时办结，</w:t>
      </w:r>
      <w:r>
        <w:rPr>
          <w:rFonts w:hint="eastAsia" w:ascii="Times New Roman" w:hAnsi="Times New Roman" w:eastAsia="仿宋_GB2312" w:cs="Times New Roman"/>
          <w:sz w:val="32"/>
          <w:szCs w:val="32"/>
          <w:lang w:val="en-US" w:eastAsia="zh-CN"/>
        </w:rPr>
        <w:t>其中2项为可以公开政府信息，</w:t>
      </w:r>
      <w:r>
        <w:rPr>
          <w:rFonts w:hint="default" w:ascii="Times New Roman" w:hAnsi="Times New Roman" w:eastAsia="仿宋_GB2312" w:cs="Times New Roman"/>
          <w:sz w:val="32"/>
          <w:szCs w:val="32"/>
          <w:lang w:val="en-US" w:eastAsia="zh-CN"/>
        </w:rPr>
        <w:t>按照申请人要求途径和方式进行了答复</w:t>
      </w:r>
      <w:r>
        <w:rPr>
          <w:rFonts w:hint="eastAsia" w:ascii="Times New Roman" w:hAnsi="Times New Roman" w:eastAsia="仿宋_GB2312" w:cs="Times New Roman"/>
          <w:sz w:val="32"/>
          <w:szCs w:val="32"/>
          <w:lang w:val="en-US" w:eastAsia="zh-CN"/>
        </w:rPr>
        <w:t>，1项为本机关不掌握政府信息，已告知申请人获取信息方式</w:t>
      </w:r>
      <w:r>
        <w:rPr>
          <w:rFonts w:hint="default" w:ascii="Times New Roman" w:hAnsi="Times New Roman" w:eastAsia="仿宋_GB2312" w:cs="Times New Roman"/>
          <w:sz w:val="32"/>
          <w:szCs w:val="32"/>
          <w:lang w:val="en-US" w:eastAsia="zh-CN"/>
        </w:rPr>
        <w:t>，在此过程中无信息公开收费情况。</w:t>
      </w:r>
    </w:p>
    <w:p>
      <w:pPr>
        <w:pStyle w:val="2"/>
      </w:pPr>
      <w:r>
        <w:drawing>
          <wp:inline distT="0" distB="0" distL="114300" distR="114300">
            <wp:extent cx="4572000" cy="2743200"/>
            <wp:effectExtent l="4445" t="4445" r="14605" b="14605"/>
            <wp:docPr id="4" name="图表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2"/>
        <w:rPr>
          <w:rFonts w:hint="default"/>
          <w:lang w:val="en-US" w:eastAsia="zh-CN"/>
        </w:rPr>
      </w:pPr>
      <w:r>
        <w:drawing>
          <wp:inline distT="0" distB="0" distL="114300" distR="114300">
            <wp:extent cx="4572000" cy="2743200"/>
            <wp:effectExtent l="4445" t="4445" r="14605" b="14605"/>
            <wp:docPr id="5" name="图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2"/>
        <w:numPr>
          <w:ilvl w:val="0"/>
          <w:numId w:val="0"/>
        </w:numPr>
        <w:ind w:firstLine="640" w:firstLineChars="200"/>
        <w:rPr>
          <w:rFonts w:hint="eastAsia" w:ascii="仿宋_GB2312" w:hAnsi="微软雅黑" w:eastAsia="仿宋_GB2312" w:cs="仿宋_GB2312"/>
          <w:i w:val="0"/>
          <w:iCs w:val="0"/>
          <w:caps w:val="0"/>
          <w:color w:val="000000"/>
          <w:spacing w:val="0"/>
          <w:sz w:val="32"/>
          <w:szCs w:val="32"/>
          <w:lang w:val="en-US" w:eastAsia="zh-CN"/>
        </w:rPr>
      </w:pPr>
      <w:r>
        <w:rPr>
          <w:rFonts w:hint="eastAsia" w:ascii="楷体" w:hAnsi="楷体" w:eastAsia="楷体" w:cs="楷体"/>
          <w:sz w:val="32"/>
          <w:szCs w:val="32"/>
          <w:lang w:val="en-US" w:eastAsia="zh-CN"/>
        </w:rPr>
        <w:t>（三）政府信息管理情况。</w:t>
      </w:r>
      <w:r>
        <w:rPr>
          <w:rFonts w:hint="eastAsia" w:ascii="仿宋_GB2312" w:hAnsi="微软雅黑" w:eastAsia="仿宋_GB2312" w:cs="仿宋_GB2312"/>
          <w:i w:val="0"/>
          <w:iCs w:val="0"/>
          <w:caps w:val="0"/>
          <w:color w:val="000000"/>
          <w:spacing w:val="0"/>
          <w:sz w:val="32"/>
          <w:szCs w:val="32"/>
          <w:lang w:val="en-US" w:eastAsia="zh-CN"/>
        </w:rPr>
        <w:t>加强政务公开信息内容审核</w:t>
      </w:r>
      <w:r>
        <w:rPr>
          <w:rFonts w:hint="eastAsia" w:ascii="仿宋_GB2312" w:hAnsi="微软雅黑" w:eastAsia="仿宋_GB2312" w:cs="仿宋_GB2312"/>
          <w:i w:val="0"/>
          <w:iCs w:val="0"/>
          <w:caps w:val="0"/>
          <w:color w:val="000000"/>
          <w:spacing w:val="0"/>
          <w:sz w:val="32"/>
          <w:szCs w:val="32"/>
        </w:rPr>
        <w:t>，</w:t>
      </w:r>
      <w:r>
        <w:rPr>
          <w:rFonts w:hint="eastAsia" w:ascii="仿宋_GB2312" w:hAnsi="微软雅黑" w:eastAsia="仿宋_GB2312" w:cs="仿宋_GB2312"/>
          <w:i w:val="0"/>
          <w:iCs w:val="0"/>
          <w:caps w:val="0"/>
          <w:color w:val="000000"/>
          <w:spacing w:val="0"/>
          <w:sz w:val="32"/>
          <w:szCs w:val="32"/>
          <w:lang w:val="en-US" w:eastAsia="zh-CN"/>
        </w:rPr>
        <w:t>合理划定信息公开属性，完善信息发布机制，严格信息发布程序，做到公开不涉密，涉密不公开，创新公开举措，丰富公开形式。</w:t>
      </w:r>
      <w:r>
        <w:rPr>
          <w:rFonts w:hint="eastAsia" w:ascii="黑体" w:hAnsi="黑体" w:eastAsia="黑体" w:cs="黑体"/>
          <w:sz w:val="32"/>
          <w:szCs w:val="32"/>
          <w:lang w:val="en-US" w:eastAsia="zh-CN"/>
        </w:rPr>
        <w:t>一是</w:t>
      </w:r>
      <w:r>
        <w:rPr>
          <w:rFonts w:hint="eastAsia" w:ascii="仿宋_GB2312" w:hAnsi="仿宋_GB2312" w:eastAsia="仿宋_GB2312" w:cs="仿宋_GB2312"/>
          <w:sz w:val="32"/>
          <w:szCs w:val="32"/>
          <w:lang w:val="en-US" w:eastAsia="zh-CN"/>
        </w:rPr>
        <w:t>为提升办事服务效率，结合“三定”方案，</w:t>
      </w:r>
      <w:r>
        <w:rPr>
          <w:rFonts w:hint="eastAsia" w:ascii="仿宋_GB2312" w:hAnsi="仿宋_GB2312" w:eastAsia="仿宋_GB2312" w:cs="仿宋_GB2312"/>
          <w:sz w:val="32"/>
          <w:szCs w:val="32"/>
        </w:rPr>
        <w:t>制定</w:t>
      </w:r>
      <w:r>
        <w:rPr>
          <w:rFonts w:hint="eastAsia" w:ascii="仿宋_GB2312" w:hAnsi="仿宋_GB2312" w:eastAsia="仿宋_GB2312" w:cs="仿宋_GB2312"/>
          <w:sz w:val="32"/>
          <w:szCs w:val="32"/>
          <w:lang w:val="en-US" w:eastAsia="zh-CN"/>
        </w:rPr>
        <w:t>了</w:t>
      </w:r>
      <w:r>
        <w:rPr>
          <w:rFonts w:hint="eastAsia" w:ascii="仿宋_GB2312" w:hAnsi="仿宋_GB2312" w:eastAsia="仿宋_GB2312" w:cs="仿宋_GB2312"/>
          <w:sz w:val="32"/>
          <w:szCs w:val="32"/>
        </w:rPr>
        <w:t>监管权责清单和办理规范，对</w:t>
      </w:r>
      <w:r>
        <w:rPr>
          <w:rFonts w:hint="default" w:ascii="Times New Roman" w:hAnsi="Times New Roman" w:eastAsia="仿宋_GB2312" w:cs="Times New Roman"/>
          <w:sz w:val="32"/>
          <w:szCs w:val="32"/>
        </w:rPr>
        <w:t>34</w:t>
      </w:r>
      <w:r>
        <w:rPr>
          <w:rFonts w:hint="eastAsia" w:ascii="仿宋_GB2312" w:hAnsi="仿宋_GB2312" w:eastAsia="仿宋_GB2312" w:cs="仿宋_GB2312"/>
          <w:sz w:val="32"/>
          <w:szCs w:val="32"/>
        </w:rPr>
        <w:t>个权责事项办理做出明确规定。按照“监管与服务并重、质量与效率并重”原则，出台《关于进一步提高权责事项办理效率的暂行规定》，通过“淄博国资”微信公众号发布《淄博市国资委权责事项办理指南》</w:t>
      </w:r>
      <w:r>
        <w:rPr>
          <w:rFonts w:hint="default" w:ascii="Times New Roman" w:hAnsi="Times New Roman" w:eastAsia="楷体" w:cs="Times New Roman"/>
          <w:sz w:val="32"/>
          <w:szCs w:val="32"/>
        </w:rPr>
        <w:t>3</w:t>
      </w:r>
      <w:r>
        <w:rPr>
          <w:rFonts w:hint="default" w:ascii="Times New Roman" w:hAnsi="Times New Roman" w:eastAsia="楷体" w:cs="Times New Roman"/>
          <w:sz w:val="32"/>
          <w:szCs w:val="32"/>
          <w:lang w:val="en-US" w:eastAsia="zh-CN"/>
        </w:rPr>
        <w:t>8</w:t>
      </w:r>
      <w:r>
        <w:rPr>
          <w:rFonts w:hint="default" w:ascii="Times New Roman" w:hAnsi="Times New Roman" w:eastAsia="仿宋_GB2312" w:cs="Times New Roman"/>
          <w:sz w:val="32"/>
          <w:szCs w:val="32"/>
        </w:rPr>
        <w:t>项</w:t>
      </w:r>
      <w:r>
        <w:rPr>
          <w:rFonts w:hint="default" w:ascii="Times New Roman" w:hAnsi="Times New Roman" w:eastAsia="仿宋_GB2312" w:cs="Times New Roman"/>
          <w:sz w:val="32"/>
          <w:szCs w:val="32"/>
          <w:lang w:eastAsia="zh-CN"/>
        </w:rPr>
        <w:t>。</w:t>
      </w:r>
      <w:r>
        <w:rPr>
          <w:rFonts w:hint="eastAsia" w:ascii="仿宋_GB2312" w:hAnsi="仿宋_GB2312" w:eastAsia="仿宋_GB2312" w:cs="仿宋_GB2312"/>
          <w:sz w:val="32"/>
          <w:szCs w:val="32"/>
          <w:lang w:val="en-US" w:eastAsia="zh-CN"/>
        </w:rPr>
        <w:t>进一步明确了权责事项、办理时限和办理流程，一次性告知所需提报材料，对部分事项进行容缺办理。</w:t>
      </w:r>
      <w:r>
        <w:rPr>
          <w:rFonts w:hint="eastAsia" w:ascii="仿宋_GB2312" w:hAnsi="仿宋_GB2312" w:eastAsia="仿宋_GB2312" w:cs="仿宋_GB2312"/>
          <w:sz w:val="32"/>
          <w:szCs w:val="32"/>
        </w:rPr>
        <w:t>让群众少跑腿，让数据多跑路，打通服务</w:t>
      </w:r>
      <w:r>
        <w:rPr>
          <w:rFonts w:hint="eastAsia" w:ascii="仿宋_GB2312" w:hAnsi="仿宋_GB2312" w:eastAsia="仿宋_GB2312" w:cs="仿宋_GB2312"/>
          <w:sz w:val="32"/>
          <w:szCs w:val="32"/>
          <w:lang w:val="en-US" w:eastAsia="zh-CN"/>
        </w:rPr>
        <w:t>企业</w:t>
      </w:r>
      <w:r>
        <w:rPr>
          <w:rFonts w:hint="eastAsia" w:ascii="仿宋_GB2312" w:hAnsi="仿宋_GB2312" w:eastAsia="仿宋_GB2312" w:cs="仿宋_GB2312"/>
          <w:sz w:val="32"/>
          <w:szCs w:val="32"/>
        </w:rPr>
        <w:t>“最后一米”。</w:t>
      </w:r>
      <w:r>
        <w:rPr>
          <w:rFonts w:hint="eastAsia" w:ascii="黑体" w:hAnsi="黑体" w:eastAsia="黑体" w:cs="黑体"/>
          <w:sz w:val="32"/>
          <w:szCs w:val="32"/>
          <w:lang w:eastAsia="zh-CN"/>
        </w:rPr>
        <w:t>二是</w:t>
      </w:r>
      <w:r>
        <w:rPr>
          <w:rFonts w:hint="eastAsia" w:ascii="仿宋_GB2312" w:hAnsi="仿宋_GB2312" w:eastAsia="仿宋_GB2312" w:cs="仿宋_GB2312"/>
          <w:sz w:val="32"/>
          <w:szCs w:val="32"/>
          <w:lang w:val="en-US" w:eastAsia="zh-CN"/>
        </w:rPr>
        <w:t>制定了《</w:t>
      </w:r>
      <w:r>
        <w:rPr>
          <w:rFonts w:hint="eastAsia" w:ascii="仿宋_GB2312" w:hAnsi="仿宋_GB2312" w:eastAsia="仿宋_GB2312" w:cs="仿宋_GB2312"/>
          <w:sz w:val="32"/>
          <w:szCs w:val="32"/>
          <w:lang w:eastAsia="zh-CN"/>
        </w:rPr>
        <w:t>淄博市</w:t>
      </w:r>
      <w:r>
        <w:rPr>
          <w:rFonts w:hint="eastAsia" w:ascii="仿宋_GB2312" w:hAnsi="仿宋_GB2312" w:eastAsia="仿宋_GB2312" w:cs="仿宋_GB2312"/>
          <w:sz w:val="32"/>
          <w:szCs w:val="32"/>
          <w:lang w:val="en-US" w:eastAsia="zh-CN"/>
        </w:rPr>
        <w:t>国资委</w:t>
      </w:r>
      <w:r>
        <w:rPr>
          <w:rFonts w:hint="eastAsia" w:ascii="仿宋_GB2312" w:hAnsi="仿宋_GB2312" w:eastAsia="仿宋_GB2312" w:cs="仿宋_GB2312"/>
          <w:sz w:val="32"/>
          <w:szCs w:val="32"/>
        </w:rPr>
        <w:t>政策文件解读实施方案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试行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》，明确了解读范围、解读主体、解读程序和解读时效，</w:t>
      </w:r>
      <w:r>
        <w:rPr>
          <w:rFonts w:hint="eastAsia" w:ascii="仿宋_GB2312" w:hAnsi="仿宋_GB2312" w:eastAsia="仿宋_GB2312" w:cs="仿宋_GB2312"/>
          <w:sz w:val="32"/>
          <w:szCs w:val="32"/>
        </w:rPr>
        <w:t>及时全面阐释政策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规范</w:t>
      </w:r>
      <w:r>
        <w:rPr>
          <w:rFonts w:hint="eastAsia" w:ascii="仿宋_GB2312" w:hAnsi="仿宋_GB2312" w:eastAsia="仿宋_GB2312" w:cs="仿宋_GB2312"/>
          <w:sz w:val="32"/>
          <w:szCs w:val="32"/>
          <w:lang w:val="en-US" w:eastAsia="zh-CN"/>
        </w:rPr>
        <w:t>了市国资委</w:t>
      </w:r>
      <w:r>
        <w:rPr>
          <w:rFonts w:hint="eastAsia" w:ascii="仿宋_GB2312" w:hAnsi="仿宋_GB2312" w:eastAsia="仿宋_GB2312" w:cs="仿宋_GB2312"/>
          <w:sz w:val="32"/>
          <w:szCs w:val="32"/>
        </w:rPr>
        <w:t>政策文件的宣传解读工作，切实增进</w:t>
      </w:r>
      <w:r>
        <w:rPr>
          <w:rFonts w:hint="eastAsia" w:ascii="仿宋_GB2312" w:hAnsi="仿宋_GB2312" w:eastAsia="仿宋_GB2312" w:cs="仿宋_GB2312"/>
          <w:sz w:val="32"/>
          <w:szCs w:val="32"/>
          <w:lang w:val="en-US" w:eastAsia="zh-CN"/>
        </w:rPr>
        <w:t>企业</w:t>
      </w:r>
      <w:r>
        <w:rPr>
          <w:rFonts w:hint="eastAsia" w:ascii="仿宋_GB2312" w:hAnsi="仿宋_GB2312" w:eastAsia="仿宋_GB2312" w:cs="仿宋_GB2312"/>
          <w:sz w:val="32"/>
          <w:szCs w:val="32"/>
        </w:rPr>
        <w:t>对政策的理解和认同，有效推动政策措施落实落地</w:t>
      </w:r>
      <w:r>
        <w:rPr>
          <w:rFonts w:hint="eastAsia" w:ascii="仿宋_GB2312" w:hAnsi="仿宋_GB2312" w:eastAsia="仿宋_GB2312" w:cs="仿宋_GB2312"/>
          <w:sz w:val="32"/>
          <w:szCs w:val="32"/>
          <w:lang w:eastAsia="zh-CN"/>
        </w:rPr>
        <w:t>。</w:t>
      </w:r>
    </w:p>
    <w:p>
      <w:pPr>
        <w:pStyle w:val="2"/>
        <w:numPr>
          <w:ilvl w:val="0"/>
          <w:numId w:val="0"/>
        </w:numPr>
        <w:rPr>
          <w:rFonts w:hint="eastAsia" w:ascii="仿宋_GB2312" w:hAnsi="微软雅黑" w:eastAsia="仿宋_GB2312" w:cs="仿宋_GB2312"/>
          <w:i w:val="0"/>
          <w:iCs w:val="0"/>
          <w:caps w:val="0"/>
          <w:color w:val="000000"/>
          <w:spacing w:val="0"/>
          <w:sz w:val="32"/>
          <w:szCs w:val="32"/>
          <w:lang w:val="en-US" w:eastAsia="zh-CN"/>
        </w:rPr>
      </w:pPr>
    </w:p>
    <w:p>
      <w:pPr>
        <w:numPr>
          <w:ilvl w:val="0"/>
          <w:numId w:val="0"/>
        </w:numPr>
        <w:ind w:firstLine="640" w:firstLineChars="200"/>
        <w:rPr>
          <w:rFonts w:hint="eastAsia" w:ascii="楷体" w:hAnsi="楷体" w:eastAsia="楷体" w:cs="楷体"/>
          <w:sz w:val="32"/>
          <w:szCs w:val="32"/>
          <w:lang w:val="en-US" w:eastAsia="zh-CN"/>
        </w:rPr>
      </w:pPr>
    </w:p>
    <w:p>
      <w:pPr>
        <w:numPr>
          <w:ilvl w:val="0"/>
          <w:numId w:val="0"/>
        </w:numPr>
        <w:ind w:firstLine="640" w:firstLineChars="200"/>
        <w:rPr>
          <w:rFonts w:hint="eastAsia" w:ascii="楷体" w:hAnsi="楷体" w:eastAsia="楷体" w:cs="楷体"/>
          <w:sz w:val="32"/>
          <w:szCs w:val="32"/>
          <w:lang w:val="en-US" w:eastAsia="zh-CN"/>
        </w:rPr>
      </w:pPr>
    </w:p>
    <w:p>
      <w:pPr>
        <w:numPr>
          <w:ilvl w:val="0"/>
          <w:numId w:val="0"/>
        </w:numPr>
        <w:ind w:firstLine="640" w:firstLineChars="200"/>
        <w:rPr>
          <w:rFonts w:hint="eastAsia" w:ascii="楷体" w:hAnsi="楷体" w:eastAsia="楷体" w:cs="楷体"/>
          <w:sz w:val="32"/>
          <w:szCs w:val="32"/>
          <w:lang w:val="en-US" w:eastAsia="zh-CN"/>
        </w:rPr>
      </w:pPr>
    </w:p>
    <w:p>
      <w:pPr>
        <w:numPr>
          <w:ilvl w:val="0"/>
          <w:numId w:val="0"/>
        </w:numPr>
        <w:ind w:firstLine="420" w:firstLineChars="200"/>
        <w:rPr>
          <w:rFonts w:hint="eastAsia" w:ascii="楷体" w:hAnsi="楷体" w:eastAsia="楷体" w:cs="楷体"/>
          <w:sz w:val="32"/>
          <w:szCs w:val="32"/>
          <w:lang w:val="en-US" w:eastAsia="zh-CN"/>
        </w:rPr>
      </w:pPr>
      <w:r>
        <w:drawing>
          <wp:anchor distT="0" distB="0" distL="114300" distR="114300" simplePos="0" relativeHeight="251660288" behindDoc="0" locked="0" layoutInCell="1" allowOverlap="1">
            <wp:simplePos x="0" y="0"/>
            <wp:positionH relativeFrom="column">
              <wp:posOffset>819150</wp:posOffset>
            </wp:positionH>
            <wp:positionV relativeFrom="paragraph">
              <wp:posOffset>272415</wp:posOffset>
            </wp:positionV>
            <wp:extent cx="3342005" cy="5955030"/>
            <wp:effectExtent l="0" t="0" r="10795" b="7620"/>
            <wp:wrapTopAndBottom/>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0"/>
                    <a:stretch>
                      <a:fillRect/>
                    </a:stretch>
                  </pic:blipFill>
                  <pic:spPr>
                    <a:xfrm>
                      <a:off x="0" y="0"/>
                      <a:ext cx="3342005" cy="5955030"/>
                    </a:xfrm>
                    <a:prstGeom prst="rect">
                      <a:avLst/>
                    </a:prstGeom>
                    <a:noFill/>
                    <a:ln>
                      <a:noFill/>
                    </a:ln>
                  </pic:spPr>
                </pic:pic>
              </a:graphicData>
            </a:graphic>
          </wp:anchor>
        </w:drawing>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rPr>
        <w:t>（四）平台建设情况。</w:t>
      </w:r>
      <w:r>
        <w:rPr>
          <w:rFonts w:hint="eastAsia" w:ascii="仿宋_GB2312" w:hAnsi="仿宋_GB2312" w:eastAsia="仿宋_GB2312" w:cs="仿宋_GB2312"/>
          <w:sz w:val="32"/>
          <w:szCs w:val="32"/>
          <w:lang w:val="en-US" w:eastAsia="zh-CN"/>
        </w:rPr>
        <w:t>合理调整市国资委政务公开专栏栏目，积极更新公开信息，合理调整主动公开目录，加强意见征集，提高政务信息公开质量。</w:t>
      </w:r>
    </w:p>
    <w:p>
      <w:pPr>
        <w:pStyle w:val="2"/>
        <w:numPr>
          <w:ilvl w:val="0"/>
          <w:numId w:val="0"/>
        </w:numPr>
        <w:ind w:left="420" w:leftChars="0"/>
        <w:rPr>
          <w:rFonts w:hint="eastAsia"/>
          <w:lang w:val="en-US" w:eastAsia="zh-CN"/>
        </w:rPr>
      </w:pPr>
      <w:r>
        <w:drawing>
          <wp:anchor distT="0" distB="0" distL="114300" distR="114300" simplePos="0" relativeHeight="251659264" behindDoc="0" locked="0" layoutInCell="1" allowOverlap="1">
            <wp:simplePos x="0" y="0"/>
            <wp:positionH relativeFrom="column">
              <wp:posOffset>114300</wp:posOffset>
            </wp:positionH>
            <wp:positionV relativeFrom="paragraph">
              <wp:posOffset>22860</wp:posOffset>
            </wp:positionV>
            <wp:extent cx="5259070" cy="2751455"/>
            <wp:effectExtent l="0" t="0" r="17780" b="10795"/>
            <wp:wrapTopAndBottom/>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5259070" cy="2751455"/>
                    </a:xfrm>
                    <a:prstGeom prst="rect">
                      <a:avLst/>
                    </a:prstGeom>
                    <a:noFill/>
                    <a:ln>
                      <a:noFill/>
                    </a:ln>
                  </pic:spPr>
                </pic:pic>
              </a:graphicData>
            </a:graphic>
          </wp:anchor>
        </w:drawing>
      </w:r>
    </w:p>
    <w:p>
      <w:pPr>
        <w:ind w:firstLine="640" w:firstLineChars="200"/>
        <w:rPr>
          <w:rFonts w:hint="eastAsia"/>
          <w:lang w:val="en-US" w:eastAsia="zh-CN"/>
        </w:rPr>
      </w:pPr>
      <w:r>
        <w:rPr>
          <w:rFonts w:hint="eastAsia" w:ascii="楷体" w:hAnsi="楷体" w:eastAsia="楷体" w:cs="楷体"/>
          <w:sz w:val="32"/>
          <w:szCs w:val="32"/>
          <w:lang w:val="en-US" w:eastAsia="zh-CN"/>
        </w:rPr>
        <w:t>（五）监督保障情况。</w:t>
      </w:r>
      <w:r>
        <w:rPr>
          <w:rFonts w:hint="eastAsia" w:ascii="仿宋_GB2312" w:hAnsi="仿宋_GB2312" w:eastAsia="仿宋_GB2312" w:cs="仿宋_GB2312"/>
          <w:sz w:val="32"/>
          <w:szCs w:val="32"/>
          <w:lang w:val="en-US" w:eastAsia="zh-CN"/>
        </w:rPr>
        <w:t>根据工作实际，及时调整充实政务公开领导小组，成立淄博市国有资本投资发展促进中心，增设一个科室配合委办公室开展全委政务公开工作，并设定专人负责。加强政务公开人员素质建设，邀请了市政府政务公开办专家到市国资委授课，结合国资国企信息公开特有情况，从国企监管、国资运行两个维度对信息公开内容进行了详细讲解，有效增强我委政务公开工作的针对性，提高了全委人员对政务信息公开工作的业务能力。</w:t>
      </w:r>
    </w:p>
    <w:p>
      <w:pPr>
        <w:pStyle w:val="2"/>
        <w:rPr>
          <w:rFonts w:hint="eastAsia" w:ascii="仿宋_GB2312" w:hAnsi="仿宋_GB2312" w:eastAsia="仿宋_GB2312" w:cs="仿宋_GB2312"/>
          <w:sz w:val="32"/>
          <w:szCs w:val="32"/>
          <w:lang w:eastAsia="zh-CN"/>
        </w:rPr>
      </w:pPr>
    </w:p>
    <w:p>
      <w:pPr>
        <w:pStyle w:val="2"/>
        <w:rPr>
          <w:rFonts w:hint="eastAsia" w:ascii="仿宋_GB2312" w:hAnsi="仿宋_GB2312" w:eastAsia="仿宋_GB2312" w:cs="仿宋_GB2312"/>
          <w:sz w:val="32"/>
          <w:szCs w:val="32"/>
          <w:lang w:eastAsia="zh-CN"/>
        </w:rPr>
      </w:pPr>
    </w:p>
    <w:p>
      <w:pPr>
        <w:pStyle w:val="2"/>
        <w:rPr>
          <w:rFonts w:hint="eastAsia" w:ascii="仿宋_GB2312" w:hAnsi="仿宋_GB2312" w:eastAsia="仿宋_GB2312" w:cs="仿宋_GB2312"/>
          <w:sz w:val="32"/>
          <w:szCs w:val="32"/>
          <w:lang w:eastAsia="zh-CN"/>
        </w:rPr>
      </w:pPr>
    </w:p>
    <w:p>
      <w:pPr>
        <w:pStyle w:val="2"/>
        <w:rPr>
          <w:rFonts w:hint="eastAsia" w:ascii="仿宋_GB2312" w:hAnsi="仿宋_GB2312" w:eastAsia="仿宋_GB2312" w:cs="仿宋_GB2312"/>
          <w:sz w:val="32"/>
          <w:szCs w:val="32"/>
          <w:lang w:eastAsia="zh-CN"/>
        </w:rPr>
      </w:pPr>
    </w:p>
    <w:p>
      <w:pPr>
        <w:pStyle w:val="2"/>
        <w:rPr>
          <w:rFonts w:hint="eastAsia" w:ascii="仿宋_GB2312" w:hAnsi="仿宋_GB2312" w:eastAsia="仿宋_GB2312" w:cs="仿宋_GB2312"/>
          <w:sz w:val="32"/>
          <w:szCs w:val="32"/>
          <w:lang w:eastAsia="zh-CN"/>
        </w:rPr>
      </w:pPr>
    </w:p>
    <w:p>
      <w:pPr>
        <w:numPr>
          <w:ilvl w:val="0"/>
          <w:numId w:val="0"/>
        </w:numPr>
        <w:rPr>
          <w:rFonts w:hint="eastAsia" w:ascii="黑体" w:hAnsi="黑体" w:eastAsia="黑体" w:cs="黑体"/>
          <w:sz w:val="32"/>
          <w:szCs w:val="32"/>
          <w:lang w:val="en-US" w:eastAsia="zh-CN"/>
        </w:rPr>
      </w:pPr>
    </w:p>
    <w:p>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二、主动公开政府信息情况</w:t>
      </w:r>
    </w:p>
    <w:tbl>
      <w:tblPr>
        <w:tblStyle w:val="3"/>
        <w:tblW w:w="5000" w:type="pct"/>
        <w:tblInd w:w="0" w:type="dxa"/>
        <w:tblLayout w:type="autofit"/>
        <w:tblCellMar>
          <w:top w:w="0" w:type="dxa"/>
          <w:left w:w="108" w:type="dxa"/>
          <w:bottom w:w="0" w:type="dxa"/>
          <w:right w:w="108" w:type="dxa"/>
        </w:tblCellMar>
      </w:tblPr>
      <w:tblGrid>
        <w:gridCol w:w="2129"/>
        <w:gridCol w:w="2129"/>
        <w:gridCol w:w="2129"/>
        <w:gridCol w:w="2129"/>
      </w:tblGrid>
      <w:tr>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1250" w:type="pct"/>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1250" w:type="pct"/>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1250" w:type="pct"/>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1250" w:type="pct"/>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1250" w:type="pct"/>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1250" w:type="pct"/>
            <w:tcBorders>
              <w:top w:val="nil"/>
              <w:left w:val="nil"/>
              <w:bottom w:val="single" w:color="auto" w:sz="8" w:space="0"/>
              <w:right w:val="single" w:color="auto" w:sz="8" w:space="0"/>
            </w:tcBorders>
            <w:noWrap w:val="0"/>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1250" w:type="pct"/>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1250" w:type="pct"/>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1250" w:type="pct"/>
            <w:tcBorders>
              <w:top w:val="nil"/>
              <w:left w:val="nil"/>
              <w:bottom w:val="single" w:color="auto" w:sz="8" w:space="0"/>
              <w:right w:val="single" w:color="auto" w:sz="8" w:space="0"/>
            </w:tcBorders>
            <w:noWrap w:val="0"/>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3750" w:type="pct"/>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3750" w:type="pct"/>
            <w:gridSpan w:val="3"/>
            <w:tcBorders>
              <w:top w:val="single" w:color="auto" w:sz="8" w:space="0"/>
              <w:left w:val="nil"/>
              <w:bottom w:val="single" w:color="auto" w:sz="8" w:space="0"/>
              <w:right w:val="single" w:color="000000" w:sz="8" w:space="0"/>
            </w:tcBorders>
            <w:noWrap w:val="0"/>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第二十条第（六）项</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3750" w:type="pct"/>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3750" w:type="pct"/>
            <w:gridSpan w:val="3"/>
            <w:tcBorders>
              <w:top w:val="single" w:color="auto" w:sz="8" w:space="0"/>
              <w:left w:val="nil"/>
              <w:bottom w:val="single" w:color="auto" w:sz="8" w:space="0"/>
              <w:right w:val="single" w:color="000000"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3750" w:type="pct"/>
            <w:gridSpan w:val="3"/>
            <w:tcBorders>
              <w:top w:val="single" w:color="auto" w:sz="8" w:space="0"/>
              <w:left w:val="nil"/>
              <w:bottom w:val="single" w:color="auto" w:sz="8" w:space="0"/>
              <w:right w:val="single" w:color="000000"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第二十条第（八）项</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3750" w:type="pct"/>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本年收费金额（单位：万元）</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3750" w:type="pct"/>
            <w:gridSpan w:val="3"/>
            <w:tcBorders>
              <w:top w:val="single" w:color="auto" w:sz="8" w:space="0"/>
              <w:left w:val="nil"/>
              <w:bottom w:val="single" w:color="auto" w:sz="8" w:space="0"/>
              <w:right w:val="single" w:color="000000" w:sz="8" w:space="0"/>
            </w:tcBorders>
            <w:noWrap w:val="0"/>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eastAsia="仿宋_GB2312" w:cs="Calibri"/>
                <w:color w:val="000000"/>
                <w:kern w:val="0"/>
                <w:szCs w:val="21"/>
                <w:lang w:val="en-US" w:eastAsia="zh-CN"/>
              </w:rPr>
              <w:t>0</w:t>
            </w:r>
          </w:p>
        </w:tc>
      </w:tr>
    </w:tbl>
    <w:p>
      <w:pPr>
        <w:pStyle w:val="2"/>
        <w:numPr>
          <w:ilvl w:val="0"/>
          <w:numId w:val="0"/>
        </w:numPr>
        <w:rPr>
          <w:rFonts w:hint="eastAsia"/>
          <w:lang w:val="en-US" w:eastAsia="zh-CN"/>
        </w:rPr>
      </w:pPr>
    </w:p>
    <w:p>
      <w:pPr>
        <w:widowControl/>
        <w:spacing w:line="432" w:lineRule="atLeast"/>
        <w:ind w:firstLine="480"/>
        <w:rPr>
          <w:rFonts w:hint="eastAsia" w:ascii="宋体" w:hAnsi="宋体" w:cs="宋体"/>
          <w:color w:val="333333"/>
          <w:kern w:val="0"/>
          <w:sz w:val="24"/>
          <w:szCs w:val="24"/>
        </w:rPr>
      </w:pPr>
    </w:p>
    <w:p>
      <w:pPr>
        <w:widowControl/>
        <w:spacing w:after="240" w:line="432" w:lineRule="atLeast"/>
        <w:ind w:firstLine="480"/>
        <w:rPr>
          <w:rFonts w:hint="eastAsia" w:ascii="黑体" w:hAnsi="黑体" w:eastAsia="黑体" w:cs="黑体"/>
          <w:color w:val="333333"/>
          <w:kern w:val="0"/>
          <w:sz w:val="32"/>
          <w:szCs w:val="32"/>
        </w:rPr>
      </w:pPr>
      <w:r>
        <w:rPr>
          <w:rFonts w:hint="eastAsia" w:ascii="黑体" w:hAnsi="黑体" w:eastAsia="黑体" w:cs="黑体"/>
          <w:b/>
          <w:bCs/>
          <w:color w:val="333333"/>
          <w:kern w:val="0"/>
          <w:sz w:val="32"/>
          <w:szCs w:val="32"/>
        </w:rPr>
        <w:t>三、收到和处理政府信息公开申请情况</w:t>
      </w:r>
    </w:p>
    <w:tbl>
      <w:tblPr>
        <w:tblStyle w:val="3"/>
        <w:tblW w:w="909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874"/>
        <w:gridCol w:w="811"/>
        <w:gridCol w:w="2602"/>
        <w:gridCol w:w="661"/>
        <w:gridCol w:w="658"/>
        <w:gridCol w:w="668"/>
        <w:gridCol w:w="718"/>
        <w:gridCol w:w="857"/>
        <w:gridCol w:w="632"/>
        <w:gridCol w:w="61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4287" w:type="dxa"/>
            <w:gridSpan w:val="3"/>
            <w:vMerge w:val="restart"/>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楷体" w:hAnsi="楷体" w:eastAsia="楷体" w:cs="宋体"/>
                <w:kern w:val="0"/>
                <w:sz w:val="20"/>
                <w:szCs w:val="20"/>
              </w:rPr>
              <w:t>（本列数据的勾稽关系为：第一项加第二项之和，等于第三项加第四项之和）</w:t>
            </w:r>
          </w:p>
        </w:tc>
        <w:tc>
          <w:tcPr>
            <w:tcW w:w="4812" w:type="dxa"/>
            <w:gridSpan w:val="7"/>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申请人情况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4287" w:type="dxa"/>
            <w:gridSpan w:val="3"/>
            <w:vMerge w:val="continue"/>
            <w:tcBorders>
              <w:tl2br w:val="nil"/>
              <w:tr2bl w:val="nil"/>
            </w:tcBorders>
            <w:noWrap w:val="0"/>
            <w:vAlign w:val="center"/>
          </w:tcPr>
          <w:p>
            <w:pPr>
              <w:widowControl/>
              <w:jc w:val="left"/>
              <w:rPr>
                <w:rFonts w:ascii="宋体" w:hAnsi="宋体" w:cs="宋体"/>
                <w:kern w:val="0"/>
                <w:sz w:val="24"/>
                <w:szCs w:val="24"/>
              </w:rPr>
            </w:pPr>
          </w:p>
        </w:tc>
        <w:tc>
          <w:tcPr>
            <w:tcW w:w="661" w:type="dxa"/>
            <w:vMerge w:val="restart"/>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自然人</w:t>
            </w:r>
          </w:p>
        </w:tc>
        <w:tc>
          <w:tcPr>
            <w:tcW w:w="3533" w:type="dxa"/>
            <w:gridSpan w:val="5"/>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法人或其他组织</w:t>
            </w:r>
          </w:p>
        </w:tc>
        <w:tc>
          <w:tcPr>
            <w:tcW w:w="618" w:type="dxa"/>
            <w:vMerge w:val="restart"/>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总计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00" w:hRule="atLeast"/>
          <w:jc w:val="center"/>
        </w:trPr>
        <w:tc>
          <w:tcPr>
            <w:tcW w:w="4287" w:type="dxa"/>
            <w:gridSpan w:val="3"/>
            <w:vMerge w:val="continue"/>
            <w:tcBorders>
              <w:tl2br w:val="nil"/>
              <w:tr2bl w:val="nil"/>
            </w:tcBorders>
            <w:noWrap w:val="0"/>
            <w:vAlign w:val="center"/>
          </w:tcPr>
          <w:p>
            <w:pPr>
              <w:widowControl/>
              <w:jc w:val="left"/>
              <w:rPr>
                <w:rFonts w:ascii="宋体" w:hAnsi="宋体" w:cs="宋体"/>
                <w:kern w:val="0"/>
                <w:sz w:val="24"/>
                <w:szCs w:val="24"/>
              </w:rPr>
            </w:pPr>
          </w:p>
        </w:tc>
        <w:tc>
          <w:tcPr>
            <w:tcW w:w="661" w:type="dxa"/>
            <w:vMerge w:val="continue"/>
            <w:tcBorders>
              <w:tl2br w:val="nil"/>
              <w:tr2bl w:val="nil"/>
            </w:tcBorders>
            <w:noWrap w:val="0"/>
            <w:vAlign w:val="center"/>
          </w:tcPr>
          <w:p>
            <w:pPr>
              <w:widowControl/>
              <w:jc w:val="left"/>
              <w:rPr>
                <w:rFonts w:ascii="宋体" w:hAnsi="宋体" w:cs="宋体"/>
                <w:kern w:val="0"/>
                <w:sz w:val="24"/>
                <w:szCs w:val="24"/>
              </w:rPr>
            </w:pP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商业企业</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科研机构</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社会公益组织</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法律服务机构</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其他</w:t>
            </w:r>
          </w:p>
        </w:tc>
        <w:tc>
          <w:tcPr>
            <w:tcW w:w="618" w:type="dxa"/>
            <w:vMerge w:val="continue"/>
            <w:tcBorders>
              <w:tl2br w:val="nil"/>
              <w:tr2bl w:val="nil"/>
            </w:tcBorders>
            <w:noWrap w:val="0"/>
            <w:vAlign w:val="center"/>
          </w:tcPr>
          <w:p>
            <w:pPr>
              <w:widowControl/>
              <w:jc w:val="left"/>
              <w:rPr>
                <w:rFonts w:ascii="宋体" w:hAnsi="宋体" w:cs="宋体"/>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4287" w:type="dxa"/>
            <w:gridSpan w:val="3"/>
            <w:tcBorders>
              <w:tl2br w:val="nil"/>
              <w:tr2bl w:val="nil"/>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宋体" w:hAnsi="宋体" w:cs="宋体"/>
                <w:kern w:val="0"/>
                <w:sz w:val="20"/>
                <w:szCs w:val="20"/>
              </w:rPr>
              <w:t>一、本年新收政府信息公开申请数量</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3</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3</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4287" w:type="dxa"/>
            <w:gridSpan w:val="3"/>
            <w:tcBorders>
              <w:tl2br w:val="nil"/>
              <w:tr2bl w:val="nil"/>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宋体" w:hAnsi="宋体" w:cs="宋体"/>
                <w:kern w:val="0"/>
                <w:sz w:val="20"/>
                <w:szCs w:val="20"/>
              </w:rPr>
              <w:t>二、上年结转政府信息公开申请数量</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874" w:type="dxa"/>
            <w:vMerge w:val="restart"/>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三、本年度办理结果</w:t>
            </w:r>
          </w:p>
        </w:tc>
        <w:tc>
          <w:tcPr>
            <w:tcW w:w="3413" w:type="dxa"/>
            <w:gridSpan w:val="2"/>
            <w:tcBorders>
              <w:tl2br w:val="nil"/>
              <w:tr2bl w:val="nil"/>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宋体" w:hAnsi="宋体" w:eastAsia="宋体" w:cs="宋体"/>
                <w:kern w:val="0"/>
                <w:sz w:val="20"/>
                <w:szCs w:val="20"/>
              </w:rPr>
              <w:t>（一）予以公开</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hint="eastAsia" w:cs="Calibri"/>
                <w:kern w:val="0"/>
                <w:sz w:val="20"/>
                <w:szCs w:val="20"/>
                <w:lang w:val="en-US" w:eastAsia="zh-CN"/>
              </w:rPr>
              <w:t>2</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hint="eastAsia" w:cs="Calibri"/>
                <w:kern w:val="0"/>
                <w:sz w:val="20"/>
                <w:szCs w:val="20"/>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3"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3413" w:type="dxa"/>
            <w:gridSpan w:val="2"/>
            <w:tcBorders>
              <w:tl2br w:val="nil"/>
              <w:tr2bl w:val="nil"/>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宋体" w:hAnsi="宋体" w:eastAsia="宋体" w:cs="宋体"/>
                <w:kern w:val="0"/>
                <w:sz w:val="18"/>
                <w:szCs w:val="18"/>
              </w:rPr>
              <w:t>（二）部分公开</w:t>
            </w:r>
            <w:r>
              <w:rPr>
                <w:rFonts w:hint="eastAsia" w:ascii="楷体" w:hAnsi="楷体" w:eastAsia="楷体" w:cs="宋体"/>
                <w:kern w:val="0"/>
                <w:sz w:val="20"/>
                <w:szCs w:val="20"/>
              </w:rPr>
              <w:t>（区分处理的，只计这一情形，不计其他情形）</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811" w:type="dxa"/>
            <w:vMerge w:val="restart"/>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（三）不予公开</w:t>
            </w: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1.属于国家秘密</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811" w:type="dxa"/>
            <w:vMerge w:val="continue"/>
            <w:tcBorders>
              <w:tl2br w:val="nil"/>
              <w:tr2bl w:val="nil"/>
            </w:tcBorders>
            <w:noWrap w:val="0"/>
            <w:vAlign w:val="center"/>
          </w:tcPr>
          <w:p>
            <w:pPr>
              <w:widowControl/>
              <w:jc w:val="left"/>
              <w:rPr>
                <w:rFonts w:hint="eastAsia" w:ascii="宋体" w:hAnsi="宋体" w:eastAsia="宋体" w:cs="宋体"/>
                <w:kern w:val="0"/>
                <w:sz w:val="18"/>
                <w:szCs w:val="18"/>
              </w:rPr>
            </w:pP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2.其他法律行政法规禁止公开</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811" w:type="dxa"/>
            <w:vMerge w:val="continue"/>
            <w:tcBorders>
              <w:tl2br w:val="nil"/>
              <w:tr2bl w:val="nil"/>
            </w:tcBorders>
            <w:noWrap w:val="0"/>
            <w:vAlign w:val="center"/>
          </w:tcPr>
          <w:p>
            <w:pPr>
              <w:widowControl/>
              <w:jc w:val="left"/>
              <w:rPr>
                <w:rFonts w:hint="eastAsia" w:ascii="宋体" w:hAnsi="宋体" w:eastAsia="宋体" w:cs="宋体"/>
                <w:kern w:val="0"/>
                <w:sz w:val="18"/>
                <w:szCs w:val="18"/>
              </w:rPr>
            </w:pP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3.危及“三安全一稳定”</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811" w:type="dxa"/>
            <w:vMerge w:val="continue"/>
            <w:tcBorders>
              <w:tl2br w:val="nil"/>
              <w:tr2bl w:val="nil"/>
            </w:tcBorders>
            <w:noWrap w:val="0"/>
            <w:vAlign w:val="center"/>
          </w:tcPr>
          <w:p>
            <w:pPr>
              <w:widowControl/>
              <w:jc w:val="left"/>
              <w:rPr>
                <w:rFonts w:hint="eastAsia" w:ascii="宋体" w:hAnsi="宋体" w:eastAsia="宋体" w:cs="宋体"/>
                <w:kern w:val="0"/>
                <w:sz w:val="18"/>
                <w:szCs w:val="18"/>
              </w:rPr>
            </w:pP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4.保护第三方合法权益</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811" w:type="dxa"/>
            <w:vMerge w:val="continue"/>
            <w:tcBorders>
              <w:tl2br w:val="nil"/>
              <w:tr2bl w:val="nil"/>
            </w:tcBorders>
            <w:noWrap w:val="0"/>
            <w:vAlign w:val="center"/>
          </w:tcPr>
          <w:p>
            <w:pPr>
              <w:widowControl/>
              <w:jc w:val="left"/>
              <w:rPr>
                <w:rFonts w:hint="eastAsia" w:ascii="宋体" w:hAnsi="宋体" w:eastAsia="宋体" w:cs="宋体"/>
                <w:kern w:val="0"/>
                <w:sz w:val="18"/>
                <w:szCs w:val="18"/>
              </w:rPr>
            </w:pP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5.属于三类内部事务信息</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811" w:type="dxa"/>
            <w:vMerge w:val="continue"/>
            <w:tcBorders>
              <w:tl2br w:val="nil"/>
              <w:tr2bl w:val="nil"/>
            </w:tcBorders>
            <w:noWrap w:val="0"/>
            <w:vAlign w:val="center"/>
          </w:tcPr>
          <w:p>
            <w:pPr>
              <w:widowControl/>
              <w:jc w:val="left"/>
              <w:rPr>
                <w:rFonts w:hint="eastAsia" w:ascii="宋体" w:hAnsi="宋体" w:eastAsia="宋体" w:cs="宋体"/>
                <w:kern w:val="0"/>
                <w:sz w:val="18"/>
                <w:szCs w:val="18"/>
              </w:rPr>
            </w:pP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6.属于四类过程性信息</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811" w:type="dxa"/>
            <w:vMerge w:val="continue"/>
            <w:tcBorders>
              <w:tl2br w:val="nil"/>
              <w:tr2bl w:val="nil"/>
            </w:tcBorders>
            <w:noWrap w:val="0"/>
            <w:vAlign w:val="center"/>
          </w:tcPr>
          <w:p>
            <w:pPr>
              <w:widowControl/>
              <w:jc w:val="left"/>
              <w:rPr>
                <w:rFonts w:hint="eastAsia" w:ascii="宋体" w:hAnsi="宋体" w:eastAsia="宋体" w:cs="宋体"/>
                <w:kern w:val="0"/>
                <w:sz w:val="18"/>
                <w:szCs w:val="18"/>
              </w:rPr>
            </w:pP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7.属于行政执法案卷</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811" w:type="dxa"/>
            <w:vMerge w:val="continue"/>
            <w:tcBorders>
              <w:tl2br w:val="nil"/>
              <w:tr2bl w:val="nil"/>
            </w:tcBorders>
            <w:noWrap w:val="0"/>
            <w:vAlign w:val="center"/>
          </w:tcPr>
          <w:p>
            <w:pPr>
              <w:widowControl/>
              <w:jc w:val="left"/>
              <w:rPr>
                <w:rFonts w:hint="eastAsia" w:ascii="宋体" w:hAnsi="宋体" w:eastAsia="宋体" w:cs="宋体"/>
                <w:kern w:val="0"/>
                <w:sz w:val="18"/>
                <w:szCs w:val="18"/>
              </w:rPr>
            </w:pP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8.属于行政查询事项</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811" w:type="dxa"/>
            <w:vMerge w:val="restart"/>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（四）无法提供</w:t>
            </w: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1.本机关不掌握相关政府信息</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cs="Calibri"/>
                <w:kern w:val="0"/>
                <w:sz w:val="20"/>
                <w:szCs w:val="20"/>
                <w:lang w:val="en-US" w:eastAsia="zh-CN"/>
              </w:rPr>
              <w:t>1</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811" w:type="dxa"/>
            <w:vMerge w:val="continue"/>
            <w:tcBorders>
              <w:tl2br w:val="nil"/>
              <w:tr2bl w:val="nil"/>
            </w:tcBorders>
            <w:noWrap w:val="0"/>
            <w:vAlign w:val="center"/>
          </w:tcPr>
          <w:p>
            <w:pPr>
              <w:widowControl/>
              <w:jc w:val="left"/>
              <w:rPr>
                <w:rFonts w:hint="eastAsia" w:ascii="宋体" w:hAnsi="宋体" w:eastAsia="宋体" w:cs="宋体"/>
                <w:kern w:val="0"/>
                <w:sz w:val="18"/>
                <w:szCs w:val="18"/>
              </w:rPr>
            </w:pP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2.没有现成信息需要另行制作</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811" w:type="dxa"/>
            <w:vMerge w:val="continue"/>
            <w:tcBorders>
              <w:tl2br w:val="nil"/>
              <w:tr2bl w:val="nil"/>
            </w:tcBorders>
            <w:noWrap w:val="0"/>
            <w:vAlign w:val="center"/>
          </w:tcPr>
          <w:p>
            <w:pPr>
              <w:widowControl/>
              <w:jc w:val="left"/>
              <w:rPr>
                <w:rFonts w:hint="eastAsia" w:ascii="宋体" w:hAnsi="宋体" w:eastAsia="宋体" w:cs="宋体"/>
                <w:kern w:val="0"/>
                <w:sz w:val="18"/>
                <w:szCs w:val="18"/>
              </w:rPr>
            </w:pP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3.补正后申请内容仍不明确</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811" w:type="dxa"/>
            <w:vMerge w:val="restart"/>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（五）不予处理</w:t>
            </w: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1.信访举报投诉类申请</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811" w:type="dxa"/>
            <w:vMerge w:val="continue"/>
            <w:tcBorders>
              <w:tl2br w:val="nil"/>
              <w:tr2bl w:val="nil"/>
            </w:tcBorders>
            <w:noWrap w:val="0"/>
            <w:vAlign w:val="center"/>
          </w:tcPr>
          <w:p>
            <w:pPr>
              <w:widowControl/>
              <w:jc w:val="left"/>
              <w:rPr>
                <w:rFonts w:hint="eastAsia" w:ascii="宋体" w:hAnsi="宋体" w:eastAsia="宋体" w:cs="宋体"/>
                <w:kern w:val="0"/>
                <w:sz w:val="18"/>
                <w:szCs w:val="18"/>
              </w:rPr>
            </w:pP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2.重复申请</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811" w:type="dxa"/>
            <w:vMerge w:val="continue"/>
            <w:tcBorders>
              <w:tl2br w:val="nil"/>
              <w:tr2bl w:val="nil"/>
            </w:tcBorders>
            <w:noWrap w:val="0"/>
            <w:vAlign w:val="center"/>
          </w:tcPr>
          <w:p>
            <w:pPr>
              <w:widowControl/>
              <w:jc w:val="left"/>
              <w:rPr>
                <w:rFonts w:hint="eastAsia" w:ascii="宋体" w:hAnsi="宋体" w:eastAsia="宋体" w:cs="宋体"/>
                <w:kern w:val="0"/>
                <w:sz w:val="18"/>
                <w:szCs w:val="18"/>
              </w:rPr>
            </w:pP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3.要求提供公开出版物</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811" w:type="dxa"/>
            <w:vMerge w:val="continue"/>
            <w:tcBorders>
              <w:tl2br w:val="nil"/>
              <w:tr2bl w:val="nil"/>
            </w:tcBorders>
            <w:noWrap w:val="0"/>
            <w:vAlign w:val="center"/>
          </w:tcPr>
          <w:p>
            <w:pPr>
              <w:widowControl/>
              <w:jc w:val="left"/>
              <w:rPr>
                <w:rFonts w:hint="eastAsia" w:ascii="宋体" w:hAnsi="宋体" w:eastAsia="宋体" w:cs="宋体"/>
                <w:kern w:val="0"/>
                <w:sz w:val="18"/>
                <w:szCs w:val="18"/>
              </w:rPr>
            </w:pP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4.无正当理由大量反复申请</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3"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811" w:type="dxa"/>
            <w:vMerge w:val="continue"/>
            <w:tcBorders>
              <w:tl2br w:val="nil"/>
              <w:tr2bl w:val="nil"/>
            </w:tcBorders>
            <w:noWrap w:val="0"/>
            <w:vAlign w:val="center"/>
          </w:tcPr>
          <w:p>
            <w:pPr>
              <w:widowControl/>
              <w:jc w:val="left"/>
              <w:rPr>
                <w:rFonts w:hint="eastAsia" w:ascii="宋体" w:hAnsi="宋体" w:eastAsia="宋体" w:cs="宋体"/>
                <w:kern w:val="0"/>
                <w:sz w:val="18"/>
                <w:szCs w:val="18"/>
              </w:rPr>
            </w:pP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5.要求行政机关确认或重新出具已获取信息</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00"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811" w:type="dxa"/>
            <w:vMerge w:val="restart"/>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（六）其他处理</w:t>
            </w: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1.申请人无正当理由逾期不补正、行政机关不再处理其政府信息公开申请</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00" w:hRule="atLeast"/>
          <w:jc w:val="center"/>
        </w:trPr>
        <w:tc>
          <w:tcPr>
            <w:tcW w:w="874" w:type="dxa"/>
            <w:vMerge w:val="continue"/>
            <w:tcBorders>
              <w:tl2br w:val="nil"/>
              <w:tr2bl w:val="nil"/>
            </w:tcBorders>
            <w:noWrap w:val="0"/>
            <w:vAlign w:val="center"/>
          </w:tcPr>
          <w:p>
            <w:pPr>
              <w:widowControl/>
              <w:jc w:val="left"/>
            </w:pPr>
          </w:p>
        </w:tc>
        <w:tc>
          <w:tcPr>
            <w:tcW w:w="811" w:type="dxa"/>
            <w:vMerge w:val="continue"/>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2.申请人逾期未按收费通知要求缴纳费用、行政机关不再处理其政府信息公开申请</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hint="eastAsia" w:ascii="楷体" w:hAnsi="楷体" w:eastAsia="楷体" w:cs="宋体"/>
                <w:kern w:val="0"/>
                <w:sz w:val="20"/>
                <w:szCs w:val="20"/>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hint="eastAsia" w:ascii="楷体" w:hAnsi="楷体" w:eastAsia="楷体" w:cs="宋体"/>
                <w:kern w:val="0"/>
                <w:sz w:val="20"/>
                <w:szCs w:val="20"/>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hint="eastAsia" w:ascii="楷体" w:hAnsi="楷体" w:eastAsia="楷体" w:cs="宋体"/>
                <w:kern w:val="0"/>
                <w:sz w:val="20"/>
                <w:szCs w:val="20"/>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hint="eastAsia" w:ascii="楷体" w:hAnsi="楷体" w:eastAsia="楷体" w:cs="宋体"/>
                <w:kern w:val="0"/>
                <w:sz w:val="20"/>
                <w:szCs w:val="20"/>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hint="eastAsia" w:ascii="楷体" w:hAnsi="楷体" w:eastAsia="楷体" w:cs="宋体"/>
                <w:kern w:val="0"/>
                <w:sz w:val="20"/>
                <w:szCs w:val="20"/>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hint="eastAsia" w:ascii="楷体" w:hAnsi="楷体" w:eastAsia="楷体" w:cs="宋体"/>
                <w:kern w:val="0"/>
                <w:sz w:val="20"/>
                <w:szCs w:val="20"/>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hint="eastAsia" w:ascii="楷体" w:hAnsi="楷体" w:eastAsia="楷体" w:cs="宋体"/>
                <w:kern w:val="0"/>
                <w:sz w:val="20"/>
                <w:szCs w:val="20"/>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874" w:type="dxa"/>
            <w:vMerge w:val="continue"/>
            <w:tcBorders>
              <w:tl2br w:val="nil"/>
              <w:tr2bl w:val="nil"/>
            </w:tcBorders>
            <w:noWrap w:val="0"/>
            <w:vAlign w:val="center"/>
          </w:tcPr>
          <w:p>
            <w:pPr>
              <w:widowControl/>
              <w:jc w:val="left"/>
              <w:rPr>
                <w:rFonts w:hint="eastAsia" w:ascii="楷体" w:hAnsi="楷体" w:eastAsia="楷体" w:cs="宋体"/>
                <w:kern w:val="0"/>
                <w:sz w:val="20"/>
                <w:szCs w:val="20"/>
              </w:rPr>
            </w:pPr>
          </w:p>
        </w:tc>
        <w:tc>
          <w:tcPr>
            <w:tcW w:w="811" w:type="dxa"/>
            <w:vMerge w:val="continue"/>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p>
        </w:tc>
        <w:tc>
          <w:tcPr>
            <w:tcW w:w="2602" w:type="dxa"/>
            <w:tcBorders>
              <w:tl2br w:val="nil"/>
              <w:tr2bl w:val="nil"/>
            </w:tcBorders>
            <w:noWrap w:val="0"/>
            <w:tcMar>
              <w:top w:w="0" w:type="dxa"/>
              <w:left w:w="108" w:type="dxa"/>
              <w:bottom w:w="0" w:type="dxa"/>
              <w:right w:w="108" w:type="dxa"/>
            </w:tcMar>
            <w:vAlign w:val="center"/>
          </w:tcPr>
          <w:p>
            <w:pPr>
              <w:widowControl/>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3.其他</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hint="eastAsia" w:ascii="楷体" w:hAnsi="楷体" w:eastAsia="楷体" w:cs="宋体"/>
                <w:kern w:val="0"/>
                <w:sz w:val="20"/>
                <w:szCs w:val="20"/>
              </w:rPr>
            </w:pPr>
            <w:r>
              <w:rPr>
                <w:rFonts w:cs="Calibri"/>
                <w:kern w:val="0"/>
                <w:sz w:val="20"/>
                <w:szCs w:val="20"/>
              </w:rPr>
              <w:t> </w:t>
            </w:r>
            <w:r>
              <w:rPr>
                <w:rFonts w:hint="eastAsia" w:cs="Calibri"/>
                <w:kern w:val="0"/>
                <w:sz w:val="20"/>
                <w:szCs w:val="20"/>
                <w:lang w:val="en-US" w:eastAsia="zh-CN"/>
              </w:rPr>
              <w:t>0</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hint="eastAsia" w:ascii="楷体" w:hAnsi="楷体" w:eastAsia="楷体" w:cs="宋体"/>
                <w:kern w:val="0"/>
                <w:sz w:val="20"/>
                <w:szCs w:val="20"/>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hint="eastAsia" w:ascii="楷体" w:hAnsi="楷体" w:eastAsia="楷体" w:cs="宋体"/>
                <w:kern w:val="0"/>
                <w:sz w:val="20"/>
                <w:szCs w:val="20"/>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hint="eastAsia" w:ascii="楷体" w:hAnsi="楷体" w:eastAsia="楷体" w:cs="宋体"/>
                <w:kern w:val="0"/>
                <w:sz w:val="20"/>
                <w:szCs w:val="20"/>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hint="eastAsia" w:ascii="楷体" w:hAnsi="楷体" w:eastAsia="楷体" w:cs="宋体"/>
                <w:kern w:val="0"/>
                <w:sz w:val="20"/>
                <w:szCs w:val="20"/>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hint="eastAsia" w:ascii="楷体" w:hAnsi="楷体" w:eastAsia="楷体" w:cs="宋体"/>
                <w:kern w:val="0"/>
                <w:sz w:val="20"/>
                <w:szCs w:val="20"/>
              </w:rPr>
            </w:pPr>
            <w:r>
              <w:rPr>
                <w:rFonts w:cs="Calibri"/>
                <w:kern w:val="0"/>
                <w:sz w:val="20"/>
                <w:szCs w:val="20"/>
              </w:rPr>
              <w:t> </w:t>
            </w: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hint="eastAsia" w:ascii="楷体" w:hAnsi="楷体" w:eastAsia="楷体" w:cs="宋体"/>
                <w:kern w:val="0"/>
                <w:sz w:val="20"/>
                <w:szCs w:val="20"/>
              </w:rPr>
            </w:pPr>
            <w:r>
              <w:rPr>
                <w:rFonts w:hint="eastAsia" w:cs="Calibri"/>
                <w:kern w:val="0"/>
                <w:sz w:val="20"/>
                <w:szCs w:val="20"/>
                <w:lang w:val="en-US" w:eastAsia="zh-CN"/>
              </w:rPr>
              <w:t>0</w:t>
            </w:r>
            <w:r>
              <w:rPr>
                <w:rFonts w:cs="Calibri"/>
                <w:kern w:val="0"/>
                <w:sz w:val="20"/>
                <w:szCs w:val="20"/>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7" w:hRule="atLeast"/>
          <w:jc w:val="center"/>
        </w:trPr>
        <w:tc>
          <w:tcPr>
            <w:tcW w:w="874" w:type="dxa"/>
            <w:vMerge w:val="continue"/>
            <w:tcBorders>
              <w:tl2br w:val="nil"/>
              <w:tr2bl w:val="nil"/>
            </w:tcBorders>
            <w:noWrap w:val="0"/>
            <w:vAlign w:val="center"/>
          </w:tcPr>
          <w:p>
            <w:pPr>
              <w:widowControl/>
              <w:jc w:val="left"/>
              <w:rPr>
                <w:rFonts w:ascii="宋体" w:hAnsi="宋体" w:cs="宋体"/>
                <w:kern w:val="0"/>
                <w:sz w:val="24"/>
                <w:szCs w:val="24"/>
              </w:rPr>
            </w:pPr>
          </w:p>
        </w:tc>
        <w:tc>
          <w:tcPr>
            <w:tcW w:w="3413" w:type="dxa"/>
            <w:gridSpan w:val="2"/>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18"/>
                <w:szCs w:val="18"/>
              </w:rPr>
            </w:pPr>
            <w:r>
              <w:rPr>
                <w:rFonts w:hint="eastAsia" w:ascii="宋体" w:hAnsi="宋体" w:eastAsia="宋体" w:cs="宋体"/>
                <w:kern w:val="0"/>
                <w:sz w:val="18"/>
                <w:szCs w:val="18"/>
              </w:rPr>
              <w:t>（七）总计</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hint="eastAsia" w:cs="Calibri"/>
                <w:kern w:val="0"/>
                <w:sz w:val="20"/>
                <w:szCs w:val="20"/>
                <w:lang w:val="en-US" w:eastAsia="zh-CN"/>
              </w:rPr>
            </w:pPr>
            <w:r>
              <w:rPr>
                <w:rFonts w:hint="eastAsia" w:cs="Calibri"/>
                <w:kern w:val="0"/>
                <w:sz w:val="20"/>
                <w:szCs w:val="20"/>
                <w:lang w:val="en-US" w:eastAsia="zh-CN"/>
              </w:rPr>
              <w:t>3</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hint="eastAsia" w:cs="Calibri"/>
                <w:kern w:val="0"/>
                <w:sz w:val="20"/>
                <w:szCs w:val="20"/>
                <w:lang w:val="en-US" w:eastAsia="zh-CN"/>
              </w:rPr>
            </w:pP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hint="eastAsia" w:cs="Calibri"/>
                <w:kern w:val="0"/>
                <w:sz w:val="20"/>
                <w:szCs w:val="20"/>
                <w:lang w:val="en-US" w:eastAsia="zh-CN"/>
              </w:rPr>
            </w:pP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hint="eastAsia" w:cs="Calibri"/>
                <w:kern w:val="0"/>
                <w:sz w:val="20"/>
                <w:szCs w:val="20"/>
                <w:lang w:val="en-US" w:eastAsia="zh-CN"/>
              </w:rPr>
            </w:pPr>
            <w:r>
              <w:rPr>
                <w:rFonts w:hint="eastAsia" w:cs="Calibri"/>
                <w:kern w:val="0"/>
                <w:sz w:val="20"/>
                <w:szCs w:val="20"/>
                <w:lang w:val="en-US" w:eastAsia="zh-CN"/>
              </w:rPr>
              <w:t>0</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hint="eastAsia" w:cs="Calibri"/>
                <w:kern w:val="0"/>
                <w:sz w:val="20"/>
                <w:szCs w:val="20"/>
                <w:lang w:val="en-US" w:eastAsia="zh-CN"/>
              </w:rPr>
            </w:pPr>
            <w:r>
              <w:rPr>
                <w:rFonts w:hint="eastAsia" w:cs="Calibri"/>
                <w:kern w:val="0"/>
                <w:sz w:val="20"/>
                <w:szCs w:val="20"/>
                <w:lang w:val="en-US" w:eastAsia="zh-CN"/>
              </w:rPr>
              <w:t>0</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hint="eastAsia" w:cs="Calibri"/>
                <w:kern w:val="0"/>
                <w:sz w:val="20"/>
                <w:szCs w:val="20"/>
                <w:lang w:val="en-US" w:eastAsia="zh-CN"/>
              </w:rPr>
            </w:pPr>
            <w:r>
              <w:rPr>
                <w:rFonts w:hint="eastAsia" w:cs="Calibri"/>
                <w:kern w:val="0"/>
                <w:sz w:val="20"/>
                <w:szCs w:val="20"/>
                <w:lang w:val="en-US" w:eastAsia="zh-CN"/>
              </w:rPr>
              <w:t>0</w:t>
            </w:r>
          </w:p>
        </w:tc>
        <w:tc>
          <w:tcPr>
            <w:tcW w:w="618" w:type="dxa"/>
            <w:tcBorders>
              <w:tl2br w:val="nil"/>
              <w:tr2bl w:val="nil"/>
            </w:tcBorders>
            <w:noWrap w:val="0"/>
            <w:tcMar>
              <w:top w:w="0" w:type="dxa"/>
              <w:left w:w="108" w:type="dxa"/>
              <w:bottom w:w="0" w:type="dxa"/>
              <w:right w:w="108" w:type="dxa"/>
            </w:tcMar>
            <w:vAlign w:val="center"/>
          </w:tcPr>
          <w:p>
            <w:pPr>
              <w:widowControl/>
              <w:jc w:val="center"/>
              <w:rPr>
                <w:rFonts w:hint="eastAsia" w:cs="Calibri"/>
                <w:kern w:val="0"/>
                <w:sz w:val="20"/>
                <w:szCs w:val="20"/>
                <w:lang w:val="en-US" w:eastAsia="zh-CN"/>
              </w:rPr>
            </w:pPr>
            <w:r>
              <w:rPr>
                <w:rFonts w:hint="eastAsia" w:cs="Calibri"/>
                <w:kern w:val="0"/>
                <w:sz w:val="20"/>
                <w:szCs w:val="20"/>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7" w:hRule="atLeast"/>
          <w:jc w:val="center"/>
        </w:trPr>
        <w:tc>
          <w:tcPr>
            <w:tcW w:w="4287" w:type="dxa"/>
            <w:gridSpan w:val="3"/>
            <w:tcBorders>
              <w:tl2br w:val="nil"/>
              <w:tr2bl w:val="nil"/>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宋体" w:hAnsi="宋体" w:cs="宋体"/>
                <w:kern w:val="0"/>
                <w:sz w:val="20"/>
                <w:szCs w:val="20"/>
              </w:rPr>
              <w:t>四、结转下年度继续办理</w:t>
            </w:r>
          </w:p>
        </w:tc>
        <w:tc>
          <w:tcPr>
            <w:tcW w:w="661"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58"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668" w:type="dxa"/>
            <w:tcBorders>
              <w:tl2br w:val="nil"/>
              <w:tr2bl w:val="nil"/>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718"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857"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32" w:type="dxa"/>
            <w:tcBorders>
              <w:tl2br w:val="nil"/>
              <w:tr2bl w:val="nil"/>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18" w:type="dxa"/>
            <w:tcBorders>
              <w:tl2br w:val="nil"/>
              <w:tr2bl w:val="nil"/>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0</w:t>
            </w:r>
          </w:p>
        </w:tc>
      </w:tr>
    </w:tbl>
    <w:p>
      <w:pPr>
        <w:widowControl/>
        <w:spacing w:line="432" w:lineRule="atLeast"/>
        <w:ind w:firstLine="480"/>
        <w:rPr>
          <w:rFonts w:hint="eastAsia" w:ascii="宋体" w:hAnsi="宋体" w:cs="宋体"/>
          <w:color w:val="333333"/>
          <w:kern w:val="0"/>
          <w:sz w:val="24"/>
          <w:szCs w:val="24"/>
        </w:rPr>
      </w:pPr>
    </w:p>
    <w:p>
      <w:p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四、政府信息公开行政复议、行政诉讼情况</w:t>
      </w:r>
    </w:p>
    <w:tbl>
      <w:tblPr>
        <w:tblStyle w:val="3"/>
        <w:tblW w:w="7743" w:type="dxa"/>
        <w:jc w:val="center"/>
        <w:tblLayout w:type="autofit"/>
        <w:tblCellMar>
          <w:top w:w="0" w:type="dxa"/>
          <w:left w:w="0" w:type="dxa"/>
          <w:bottom w:w="0" w:type="dxa"/>
          <w:right w:w="0" w:type="dxa"/>
        </w:tblCellMar>
      </w:tblPr>
      <w:tblGrid>
        <w:gridCol w:w="515"/>
        <w:gridCol w:w="515"/>
        <w:gridCol w:w="515"/>
        <w:gridCol w:w="515"/>
        <w:gridCol w:w="564"/>
        <w:gridCol w:w="469"/>
        <w:gridCol w:w="516"/>
        <w:gridCol w:w="516"/>
        <w:gridCol w:w="516"/>
        <w:gridCol w:w="519"/>
        <w:gridCol w:w="516"/>
        <w:gridCol w:w="516"/>
        <w:gridCol w:w="516"/>
        <w:gridCol w:w="517"/>
        <w:gridCol w:w="518"/>
      </w:tblGrid>
      <w:tr>
        <w:tblPrEx>
          <w:tblCellMar>
            <w:top w:w="0" w:type="dxa"/>
            <w:left w:w="0" w:type="dxa"/>
            <w:bottom w:w="0" w:type="dxa"/>
            <w:right w:w="0" w:type="dxa"/>
          </w:tblCellMar>
        </w:tblPrEx>
        <w:trPr>
          <w:trHeight w:val="273" w:hRule="atLeast"/>
          <w:jc w:val="center"/>
        </w:trPr>
        <w:tc>
          <w:tcPr>
            <w:tcW w:w="2624" w:type="dxa"/>
            <w:gridSpan w:val="5"/>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行政复议</w:t>
            </w:r>
          </w:p>
        </w:tc>
        <w:tc>
          <w:tcPr>
            <w:tcW w:w="5119" w:type="dxa"/>
            <w:gridSpan w:val="10"/>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行政诉讼</w:t>
            </w:r>
          </w:p>
        </w:tc>
      </w:tr>
      <w:tr>
        <w:tblPrEx>
          <w:tblCellMar>
            <w:top w:w="0" w:type="dxa"/>
            <w:left w:w="0" w:type="dxa"/>
            <w:bottom w:w="0" w:type="dxa"/>
            <w:right w:w="0" w:type="dxa"/>
          </w:tblCellMar>
        </w:tblPrEx>
        <w:trPr>
          <w:trHeight w:val="283" w:hRule="atLeast"/>
          <w:jc w:val="center"/>
        </w:trPr>
        <w:tc>
          <w:tcPr>
            <w:tcW w:w="515"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结果维持</w:t>
            </w:r>
          </w:p>
        </w:tc>
        <w:tc>
          <w:tcPr>
            <w:tcW w:w="515"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结果纠正</w:t>
            </w:r>
          </w:p>
        </w:tc>
        <w:tc>
          <w:tcPr>
            <w:tcW w:w="515" w:type="dxa"/>
            <w:vMerge w:val="restart"/>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其他结果</w:t>
            </w:r>
          </w:p>
        </w:tc>
        <w:tc>
          <w:tcPr>
            <w:tcW w:w="515" w:type="dxa"/>
            <w:vMerge w:val="restart"/>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尚未审结</w:t>
            </w:r>
          </w:p>
        </w:tc>
        <w:tc>
          <w:tcPr>
            <w:tcW w:w="564" w:type="dxa"/>
            <w:vMerge w:val="restart"/>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总计</w:t>
            </w:r>
          </w:p>
        </w:tc>
        <w:tc>
          <w:tcPr>
            <w:tcW w:w="2536" w:type="dxa"/>
            <w:gridSpan w:val="5"/>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未经复议直接起诉</w:t>
            </w:r>
          </w:p>
        </w:tc>
        <w:tc>
          <w:tcPr>
            <w:tcW w:w="2583" w:type="dxa"/>
            <w:gridSpan w:val="5"/>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复议后起诉</w:t>
            </w:r>
          </w:p>
        </w:tc>
      </w:tr>
      <w:tr>
        <w:tblPrEx>
          <w:tblCellMar>
            <w:top w:w="0" w:type="dxa"/>
            <w:left w:w="0" w:type="dxa"/>
            <w:bottom w:w="0" w:type="dxa"/>
            <w:right w:w="0" w:type="dxa"/>
          </w:tblCellMar>
        </w:tblPrEx>
        <w:trPr>
          <w:trHeight w:val="130"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nil"/>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single" w:color="auto" w:sz="8" w:space="0"/>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single" w:color="auto" w:sz="8" w:space="0"/>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single" w:color="auto" w:sz="8" w:space="0"/>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46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结果维持</w:t>
            </w:r>
          </w:p>
        </w:tc>
        <w:tc>
          <w:tcPr>
            <w:tcW w:w="5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结果纠正</w:t>
            </w:r>
          </w:p>
        </w:tc>
        <w:tc>
          <w:tcPr>
            <w:tcW w:w="51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其他结果</w:t>
            </w:r>
          </w:p>
        </w:tc>
        <w:tc>
          <w:tcPr>
            <w:tcW w:w="51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尚未审结</w:t>
            </w:r>
          </w:p>
        </w:tc>
        <w:tc>
          <w:tcPr>
            <w:tcW w:w="519"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总计</w:t>
            </w:r>
          </w:p>
        </w:tc>
        <w:tc>
          <w:tcPr>
            <w:tcW w:w="51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结果维持</w:t>
            </w:r>
          </w:p>
        </w:tc>
        <w:tc>
          <w:tcPr>
            <w:tcW w:w="51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结果纠正</w:t>
            </w:r>
          </w:p>
        </w:tc>
        <w:tc>
          <w:tcPr>
            <w:tcW w:w="51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其他结果</w:t>
            </w:r>
          </w:p>
        </w:tc>
        <w:tc>
          <w:tcPr>
            <w:tcW w:w="51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尚未审结</w:t>
            </w:r>
          </w:p>
        </w:tc>
        <w:tc>
          <w:tcPr>
            <w:tcW w:w="5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总计</w:t>
            </w:r>
          </w:p>
        </w:tc>
      </w:tr>
      <w:tr>
        <w:tblPrEx>
          <w:tblCellMar>
            <w:top w:w="0" w:type="dxa"/>
            <w:left w:w="0" w:type="dxa"/>
            <w:bottom w:w="0" w:type="dxa"/>
            <w:right w:w="0" w:type="dxa"/>
          </w:tblCellMar>
        </w:tblPrEx>
        <w:trPr>
          <w:trHeight w:val="283" w:hRule="atLeast"/>
          <w:jc w:val="center"/>
        </w:trPr>
        <w:tc>
          <w:tcPr>
            <w:tcW w:w="51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51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51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51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56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46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cs="宋体"/>
                <w:kern w:val="0"/>
                <w:sz w:val="20"/>
                <w:szCs w:val="20"/>
                <w:lang w:val="en-US" w:eastAsia="zh-CN"/>
              </w:rPr>
              <w:t>0</w:t>
            </w:r>
          </w:p>
        </w:tc>
        <w:tc>
          <w:tcPr>
            <w:tcW w:w="5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cs="宋体"/>
                <w:kern w:val="0"/>
                <w:sz w:val="20"/>
                <w:szCs w:val="20"/>
                <w:lang w:val="en-US" w:eastAsia="zh-CN"/>
              </w:rPr>
              <w:t>0</w:t>
            </w:r>
          </w:p>
        </w:tc>
        <w:tc>
          <w:tcPr>
            <w:tcW w:w="5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cs="宋体"/>
                <w:kern w:val="0"/>
                <w:sz w:val="20"/>
                <w:szCs w:val="20"/>
                <w:lang w:val="en-US" w:eastAsia="zh-CN"/>
              </w:rPr>
              <w:t>0</w:t>
            </w:r>
          </w:p>
        </w:tc>
        <w:tc>
          <w:tcPr>
            <w:tcW w:w="5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lang w:val="en-US" w:eastAsia="zh-CN"/>
              </w:rPr>
              <w:t>0</w:t>
            </w:r>
            <w:r>
              <w:rPr>
                <w:rFonts w:hint="eastAsia" w:ascii="宋体" w:hAnsi="宋体" w:cs="宋体"/>
                <w:kern w:val="0"/>
                <w:sz w:val="20"/>
                <w:szCs w:val="20"/>
              </w:rPr>
              <w:t> </w:t>
            </w:r>
          </w:p>
        </w:tc>
        <w:tc>
          <w:tcPr>
            <w:tcW w:w="51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both"/>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0</w:t>
            </w:r>
          </w:p>
        </w:tc>
        <w:tc>
          <w:tcPr>
            <w:tcW w:w="5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cs="宋体"/>
                <w:kern w:val="0"/>
                <w:sz w:val="20"/>
                <w:szCs w:val="20"/>
                <w:lang w:val="en-US" w:eastAsia="zh-CN"/>
              </w:rPr>
              <w:t>0</w:t>
            </w:r>
          </w:p>
        </w:tc>
        <w:tc>
          <w:tcPr>
            <w:tcW w:w="5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cs="宋体"/>
                <w:kern w:val="0"/>
                <w:sz w:val="20"/>
                <w:szCs w:val="20"/>
                <w:lang w:val="en-US" w:eastAsia="zh-CN"/>
              </w:rPr>
              <w:t>0</w:t>
            </w:r>
          </w:p>
        </w:tc>
        <w:tc>
          <w:tcPr>
            <w:tcW w:w="5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0</w:t>
            </w:r>
          </w:p>
        </w:tc>
        <w:tc>
          <w:tcPr>
            <w:tcW w:w="5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lang w:val="en-US" w:eastAsia="zh-CN"/>
              </w:rPr>
              <w:t>0</w:t>
            </w:r>
          </w:p>
        </w:tc>
        <w:tc>
          <w:tcPr>
            <w:tcW w:w="51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0</w:t>
            </w:r>
          </w:p>
        </w:tc>
      </w:tr>
    </w:tbl>
    <w:p>
      <w:p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五、存在的主要问题及改进情况</w:t>
      </w:r>
    </w:p>
    <w:p>
      <w:pPr>
        <w:ind w:firstLine="640" w:firstLineChars="200"/>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2021 年，</w:t>
      </w:r>
      <w:r>
        <w:rPr>
          <w:rFonts w:hint="eastAsia" w:ascii="仿宋_GB2312" w:hAnsi="仿宋_GB2312" w:eastAsia="仿宋_GB2312" w:cs="仿宋_GB2312"/>
          <w:sz w:val="32"/>
          <w:szCs w:val="32"/>
          <w:lang w:val="en-US" w:eastAsia="zh-CN"/>
        </w:rPr>
        <w:t>市国资委积极总结政务公开工作经验，认真梳理工作中存在的问题。</w:t>
      </w: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sz w:val="32"/>
          <w:szCs w:val="32"/>
          <w:lang w:val="en-US" w:eastAsia="zh-CN"/>
        </w:rPr>
        <w:t>政策解读形式单一，解读方式多样化能力有待提高；</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主动公开的时效还需要进一步提高；</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b w:val="0"/>
          <w:bCs w:val="0"/>
          <w:sz w:val="32"/>
          <w:szCs w:val="32"/>
          <w:lang w:val="en-US" w:eastAsia="zh-CN"/>
        </w:rPr>
        <w:t>公众参与力度不足，相关政策意见征集情况公开力度不够；</w:t>
      </w:r>
      <w:r>
        <w:rPr>
          <w:rFonts w:hint="eastAsia" w:ascii="仿宋_GB2312" w:hAnsi="仿宋_GB2312" w:eastAsia="仿宋_GB2312" w:cs="仿宋_GB2312"/>
          <w:b/>
          <w:bCs/>
          <w:sz w:val="32"/>
          <w:szCs w:val="32"/>
          <w:lang w:val="en-US" w:eastAsia="zh-CN"/>
        </w:rPr>
        <w:t>四是</w:t>
      </w:r>
      <w:r>
        <w:rPr>
          <w:rFonts w:hint="eastAsia" w:ascii="仿宋_GB2312" w:hAnsi="仿宋_GB2312" w:eastAsia="仿宋_GB2312" w:cs="仿宋_GB2312"/>
          <w:sz w:val="32"/>
          <w:szCs w:val="32"/>
          <w:lang w:val="en-US" w:eastAsia="zh-CN"/>
        </w:rPr>
        <w:t>政府信息公开工作人员的业务水平和专业能力还有待进一步提升。</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针对上述问题，我委不断深入研究整改，改进政务公开工作，</w:t>
      </w: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sz w:val="32"/>
          <w:szCs w:val="32"/>
          <w:lang w:val="en-US" w:eastAsia="zh-CN"/>
        </w:rPr>
        <w:t>丰富解读形式，采取图片、微信订阅号等方式加强解读体验；</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完善公众参与，加强相关文件制订意见征集公开；</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sz w:val="32"/>
          <w:szCs w:val="32"/>
          <w:lang w:val="en-US" w:eastAsia="zh-CN"/>
        </w:rPr>
        <w:t>加强制度建设，制定《</w:t>
      </w:r>
      <w:r>
        <w:rPr>
          <w:rFonts w:hint="eastAsia" w:ascii="仿宋_GB2312" w:hAnsi="仿宋_GB2312" w:eastAsia="仿宋_GB2312" w:cs="仿宋_GB2312"/>
          <w:sz w:val="32"/>
          <w:szCs w:val="32"/>
          <w:lang w:eastAsia="zh-CN"/>
        </w:rPr>
        <w:t>淄博市</w:t>
      </w:r>
      <w:r>
        <w:rPr>
          <w:rFonts w:hint="eastAsia" w:ascii="仿宋_GB2312" w:hAnsi="仿宋_GB2312" w:eastAsia="仿宋_GB2312" w:cs="仿宋_GB2312"/>
          <w:sz w:val="32"/>
          <w:szCs w:val="32"/>
          <w:lang w:val="en-US" w:eastAsia="zh-CN"/>
        </w:rPr>
        <w:t>国资委</w:t>
      </w:r>
      <w:r>
        <w:rPr>
          <w:rFonts w:hint="eastAsia" w:ascii="仿宋_GB2312" w:hAnsi="仿宋_GB2312" w:eastAsia="仿宋_GB2312" w:cs="仿宋_GB2312"/>
          <w:sz w:val="32"/>
          <w:szCs w:val="32"/>
        </w:rPr>
        <w:t>政策文件解读实施方案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试行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》，完善政务公开制度体系；</w:t>
      </w:r>
      <w:r>
        <w:rPr>
          <w:rFonts w:hint="eastAsia" w:ascii="仿宋_GB2312" w:hAnsi="仿宋_GB2312" w:eastAsia="仿宋_GB2312" w:cs="仿宋_GB2312"/>
          <w:b/>
          <w:bCs/>
          <w:sz w:val="32"/>
          <w:szCs w:val="32"/>
          <w:lang w:val="en-US" w:eastAsia="zh-CN"/>
        </w:rPr>
        <w:t>四是</w:t>
      </w:r>
      <w:r>
        <w:rPr>
          <w:rFonts w:hint="eastAsia" w:ascii="仿宋_GB2312" w:hAnsi="仿宋_GB2312" w:eastAsia="仿宋_GB2312" w:cs="仿宋_GB2312"/>
          <w:sz w:val="32"/>
          <w:szCs w:val="32"/>
          <w:lang w:val="en-US" w:eastAsia="zh-CN"/>
        </w:rPr>
        <w:t>邀请市政府政务公开办专家到市国资委进行授课，立足专业视角，结合国资监管角度，进行详细讲解，提高了全委人员对政务信息公开工作的重视程度和业务能力。</w:t>
      </w:r>
    </w:p>
    <w:p>
      <w:p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六、其他需要报告的事项</w:t>
      </w:r>
    </w:p>
    <w:p>
      <w:pPr>
        <w:pStyle w:val="2"/>
        <w:ind w:left="0" w:leftChars="0" w:firstLine="640" w:firstLineChars="200"/>
        <w:rPr>
          <w:rFonts w:hint="eastAsia"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rPr>
        <w:t>（一）人大建议政协提案办理情况。</w:t>
      </w:r>
      <w:r>
        <w:rPr>
          <w:rFonts w:hint="default" w:ascii="Times New Roman" w:hAnsi="Times New Roman" w:eastAsia="仿宋_GB2312" w:cs="Times New Roman"/>
          <w:sz w:val="32"/>
          <w:szCs w:val="32"/>
          <w:lang w:val="en-US" w:eastAsia="zh-CN"/>
        </w:rPr>
        <w:t>2021年，</w:t>
      </w:r>
      <w:r>
        <w:rPr>
          <w:rFonts w:hint="eastAsia" w:ascii="Times New Roman" w:hAnsi="Times New Roman" w:eastAsia="仿宋_GB2312" w:cs="Times New Roman"/>
          <w:sz w:val="32"/>
          <w:szCs w:val="32"/>
          <w:lang w:val="en-US" w:eastAsia="zh-CN"/>
        </w:rPr>
        <w:t>市国资委</w:t>
      </w:r>
      <w:r>
        <w:rPr>
          <w:rFonts w:hint="default" w:ascii="Times New Roman" w:hAnsi="Times New Roman" w:eastAsia="仿宋_GB2312" w:cs="Times New Roman"/>
          <w:sz w:val="32"/>
          <w:szCs w:val="32"/>
          <w:lang w:val="en-US" w:eastAsia="zh-CN"/>
        </w:rPr>
        <w:t>高度重视人大代表建议和政协委员提案办理，根据有关要求，加大工作力度，扎实推进建议提案办理工作，市国资委2021年共办理人大建议2件，政协委员提案1件。A类办理件3件，主办件2件，分办件1件。办复率、沟通率、满意率均达到100%</w:t>
      </w:r>
      <w:r>
        <w:rPr>
          <w:rFonts w:hint="eastAsia" w:ascii="Times New Roman" w:hAnsi="Times New Roman" w:eastAsia="仿宋_GB2312" w:cs="Times New Roman"/>
          <w:sz w:val="32"/>
          <w:szCs w:val="32"/>
          <w:lang w:val="en-US" w:eastAsia="zh-CN"/>
        </w:rPr>
        <w:t>，</w:t>
      </w:r>
      <w:r>
        <w:rPr>
          <w:rFonts w:hint="eastAsia" w:ascii="仿宋_GB2312" w:hAnsi="仿宋_GB2312" w:eastAsia="仿宋_GB2312" w:cs="仿宋_GB2312"/>
          <w:sz w:val="32"/>
          <w:szCs w:val="32"/>
          <w:lang w:val="en-US" w:eastAsia="zh-CN"/>
        </w:rPr>
        <w:t>办理总体情况及各建议提案件办理情况摘要均已通过政务公开平台公开。</w:t>
      </w:r>
    </w:p>
    <w:p>
      <w:pPr>
        <w:pStyle w:val="2"/>
        <w:ind w:left="0" w:leftChars="0" w:firstLine="640" w:firstLineChars="200"/>
        <w:rPr>
          <w:rFonts w:hint="eastAsia"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rPr>
        <w:t>（二）政府政务公开要点落实情况。</w:t>
      </w: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sz w:val="32"/>
          <w:szCs w:val="32"/>
          <w:lang w:val="en-US" w:eastAsia="zh-CN"/>
        </w:rPr>
        <w:t>对市国资委政府信息公开工作领导小组进行了调整，明确目标任务，压实工作责任，完善政务公开工作机制，确保政务公开工作落到实处；</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积极开展“政府开放日”宣传活动，市国资委联合市委组织部、团市委、市人社局举办了以“活力国资 多彩淄博”青年人才聚“齐”为主题的“政府开放日”活动，积极探索政务公开服务国资国企人才招引和发展改革新举措；</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sz w:val="32"/>
          <w:szCs w:val="32"/>
          <w:lang w:val="en-US" w:eastAsia="zh-CN"/>
        </w:rPr>
        <w:t>推进财政预决算公开，及时在政务公</w:t>
      </w:r>
      <w:r>
        <w:rPr>
          <w:rFonts w:hint="default" w:ascii="仿宋_GB2312" w:hAnsi="仿宋_GB2312" w:eastAsia="仿宋_GB2312" w:cs="仿宋_GB2312"/>
          <w:sz w:val="32"/>
          <w:szCs w:val="32"/>
          <w:lang w:val="en-US" w:eastAsia="zh-CN"/>
        </w:rPr>
        <w:t>开</w:t>
      </w:r>
      <w:r>
        <w:rPr>
          <w:rFonts w:hint="eastAsia" w:ascii="仿宋_GB2312" w:hAnsi="仿宋_GB2312" w:eastAsia="仿宋_GB2312" w:cs="仿宋_GB2312"/>
          <w:sz w:val="32"/>
          <w:szCs w:val="32"/>
          <w:lang w:val="en-US" w:eastAsia="zh-CN"/>
        </w:rPr>
        <w:t>专栏公开</w:t>
      </w:r>
      <w:r>
        <w:rPr>
          <w:rFonts w:hint="default" w:ascii="Times New Roman" w:hAnsi="Times New Roman" w:eastAsia="仿宋_GB2312" w:cs="Times New Roman"/>
          <w:sz w:val="32"/>
          <w:szCs w:val="32"/>
          <w:lang w:val="en-US" w:eastAsia="zh-CN"/>
        </w:rPr>
        <w:t>2022年度部门预算及2021</w:t>
      </w:r>
      <w:r>
        <w:rPr>
          <w:rFonts w:hint="default" w:ascii="仿宋_GB2312" w:hAnsi="仿宋_GB2312" w:eastAsia="仿宋_GB2312" w:cs="仿宋_GB2312"/>
          <w:sz w:val="32"/>
          <w:szCs w:val="32"/>
          <w:lang w:val="en-US" w:eastAsia="zh-CN"/>
        </w:rPr>
        <w:t>年度部门</w:t>
      </w:r>
      <w:r>
        <w:rPr>
          <w:rFonts w:hint="eastAsia" w:ascii="仿宋_GB2312" w:hAnsi="仿宋_GB2312" w:eastAsia="仿宋_GB2312" w:cs="仿宋_GB2312"/>
          <w:sz w:val="32"/>
          <w:szCs w:val="32"/>
          <w:lang w:val="en-US" w:eastAsia="zh-CN"/>
        </w:rPr>
        <w:t>决算，自觉接受公众的监督；</w:t>
      </w:r>
      <w:r>
        <w:rPr>
          <w:rFonts w:hint="eastAsia" w:ascii="仿宋_GB2312" w:hAnsi="仿宋_GB2312" w:eastAsia="仿宋_GB2312" w:cs="仿宋_GB2312"/>
          <w:b/>
          <w:bCs/>
          <w:sz w:val="32"/>
          <w:szCs w:val="32"/>
          <w:lang w:val="en-US" w:eastAsia="zh-CN"/>
        </w:rPr>
        <w:t>四是</w:t>
      </w:r>
      <w:r>
        <w:rPr>
          <w:rFonts w:hint="eastAsia" w:ascii="仿宋_GB2312" w:hAnsi="仿宋_GB2312" w:eastAsia="仿宋_GB2312" w:cs="仿宋_GB2312"/>
          <w:sz w:val="32"/>
          <w:szCs w:val="32"/>
          <w:lang w:val="en-US" w:eastAsia="zh-CN"/>
        </w:rPr>
        <w:t>加强公众参与，向社会及时公布重大行政决策事项，</w:t>
      </w:r>
      <w:r>
        <w:rPr>
          <w:rFonts w:hint="default" w:ascii="仿宋_GB2312" w:hAnsi="仿宋_GB2312" w:eastAsia="仿宋_GB2312" w:cs="仿宋_GB2312"/>
          <w:sz w:val="32"/>
          <w:szCs w:val="32"/>
          <w:lang w:val="en-US" w:eastAsia="zh-CN"/>
        </w:rPr>
        <w:t>通过信息公开平台“</w:t>
      </w:r>
      <w:r>
        <w:rPr>
          <w:rFonts w:hint="eastAsia" w:ascii="仿宋_GB2312" w:hAnsi="仿宋_GB2312" w:eastAsia="仿宋_GB2312" w:cs="仿宋_GB2312"/>
          <w:sz w:val="32"/>
          <w:szCs w:val="32"/>
          <w:lang w:val="en-US" w:eastAsia="zh-CN"/>
        </w:rPr>
        <w:t>意见征集</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栏目</w:t>
      </w:r>
      <w:r>
        <w:rPr>
          <w:rFonts w:hint="default" w:ascii="仿宋_GB2312" w:hAnsi="仿宋_GB2312" w:eastAsia="仿宋_GB2312" w:cs="仿宋_GB2312"/>
          <w:sz w:val="32"/>
          <w:szCs w:val="32"/>
          <w:lang w:val="en-US" w:eastAsia="zh-CN"/>
        </w:rPr>
        <w:t>,对重大行政决策事项征求意见</w:t>
      </w:r>
      <w:r>
        <w:rPr>
          <w:rFonts w:hint="eastAsia" w:ascii="仿宋_GB2312" w:hAnsi="仿宋_GB2312" w:eastAsia="仿宋_GB2312" w:cs="仿宋_GB2312"/>
          <w:sz w:val="32"/>
          <w:szCs w:val="32"/>
          <w:lang w:val="en-US" w:eastAsia="zh-CN"/>
        </w:rPr>
        <w:t>，保障公民的知情权、参与权和监督权。</w:t>
      </w:r>
    </w:p>
    <w:p>
      <w:pPr>
        <w:ind w:firstLine="640" w:firstLineChars="200"/>
        <w:rPr>
          <w:rFonts w:hint="default"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rPr>
        <w:t>（三）收取信息处理费用情况。</w:t>
      </w:r>
      <w:r>
        <w:rPr>
          <w:rFonts w:hint="default" w:ascii="Times New Roman" w:hAnsi="Times New Roman" w:eastAsia="仿宋_GB2312" w:cs="Times New Roman"/>
          <w:sz w:val="32"/>
          <w:szCs w:val="32"/>
          <w:lang w:val="en-US" w:eastAsia="zh-CN"/>
        </w:rPr>
        <w:t>2021</w:t>
      </w:r>
      <w:r>
        <w:rPr>
          <w:rFonts w:hint="eastAsia" w:ascii="仿宋_GB2312" w:hAnsi="仿宋_GB2312" w:eastAsia="仿宋_GB2312" w:cs="仿宋_GB2312"/>
          <w:sz w:val="32"/>
          <w:szCs w:val="32"/>
          <w:lang w:val="en-US" w:eastAsia="zh-CN"/>
        </w:rPr>
        <w:t>年市国资委无收取信息处理费情况。</w:t>
      </w:r>
    </w:p>
    <w:p>
      <w:pPr>
        <w:pStyle w:val="2"/>
        <w:ind w:left="0" w:leftChars="0" w:firstLine="640" w:firstLineChars="200"/>
        <w:rPr>
          <w:rFonts w:hint="eastAsia" w:ascii="仿宋_GB2312" w:hAnsi="仿宋_GB2312" w:eastAsia="仿宋_GB2312" w:cs="仿宋_GB2312"/>
          <w:sz w:val="32"/>
          <w:szCs w:val="32"/>
          <w:lang w:val="en-US" w:eastAsia="zh-CN"/>
        </w:rPr>
      </w:pPr>
    </w:p>
    <w:p/>
    <w:sectPr>
      <w:pgSz w:w="11906" w:h="16838"/>
      <w:pgMar w:top="1440" w:right="1803" w:bottom="1440" w:left="1803" w:header="851" w:footer="992" w:gutter="0"/>
      <w:pgBorders w:offsetFrom="page">
        <w:top w:val="none" w:sz="0" w:space="0"/>
        <w:left w:val="none" w:sz="0" w:space="0"/>
        <w:bottom w:val="none" w:sz="0" w:space="0"/>
        <w:right w:val="none" w:sz="0" w:space="0"/>
      </w:pgBorders>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3E1B33"/>
    <w:rsid w:val="2819295A"/>
    <w:rsid w:val="533E1B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customStyle="1" w:styleId="2">
    <w:name w:val="列出段落1"/>
    <w:basedOn w:val="1"/>
    <w:qFormat/>
    <w:uiPriority w:val="99"/>
    <w:pPr>
      <w:ind w:firstLine="420"/>
    </w:p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chart" Target="charts/chart1.xml"/><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file:///C:\Users\Administrator\Desktop\2021&#25919;&#21153;&#20844;&#24320;\&#25919;&#21153;&#20844;&#24320;&#24180;&#24230;&#25253;&#21578;\&#25919;&#21153;&#20844;&#24320;&#24180;&#25253;&#25351;&#26631;&#22270;&#26631;.xls"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C:\Users\Administrator\Desktop\&#26032;&#24314;%20XLS%20&#24037;&#20316;&#34920;.xls"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oleObject" Target="file:///C:\Users\Administrator\Desktop\&#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rgbClr val="595959">
                    <a:lumMod val="65000"/>
                    <a:lumOff val="35000"/>
                  </a:srgbClr>
                </a:solidFill>
                <a:latin typeface="微软雅黑" panose="020B0503020204020204" charset="-122"/>
                <a:ea typeface="微软雅黑" panose="020B0503020204020204" charset="-122"/>
                <a:cs typeface="+mn-cs"/>
              </a:defRPr>
            </a:pPr>
            <a:r>
              <a:t>主动公开信息数量年度变化情况</a:t>
            </a:r>
          </a:p>
        </c:rich>
      </c:tx>
      <c:layout>
        <c:manualLayout>
          <c:xMode val="edge"/>
          <c:yMode val="edge"/>
          <c:x val="0.235915637860082"/>
          <c:y val="0.0328543514135973"/>
        </c:manualLayout>
      </c:layout>
      <c:overlay val="0"/>
      <c:spPr>
        <a:noFill/>
        <a:ln>
          <a:noFill/>
        </a:ln>
        <a:effectLst/>
      </c:spPr>
    </c:title>
    <c:autoTitleDeleted val="0"/>
    <c:plotArea>
      <c:layout>
        <c:manualLayout>
          <c:layoutTarget val="inner"/>
          <c:xMode val="edge"/>
          <c:yMode val="edge"/>
          <c:x val="0.0287448559670782"/>
          <c:y val="0.151227490343289"/>
          <c:w val="0.942510288065844"/>
          <c:h val="0.714683980740982"/>
        </c:manualLayout>
      </c:layout>
      <c:barChart>
        <c:barDir val="col"/>
        <c:grouping val="percentStacked"/>
        <c:varyColors val="0"/>
        <c:ser>
          <c:idx val="0"/>
          <c:order val="0"/>
          <c:spPr>
            <a:solidFill>
              <a:srgbClr val="9BBB59"/>
            </a:solidFill>
            <a:ln>
              <a:noFill/>
            </a:ln>
            <a:effectLst/>
          </c:spPr>
          <c:invertIfNegative val="0"/>
          <c:dPt>
            <c:idx val="1"/>
            <c:invertIfNegative val="0"/>
            <c:bubble3D val="0"/>
            <c:spPr>
              <a:gradFill>
                <a:gsLst>
                  <a:gs pos="0">
                    <a:srgbClr val="7B32B2"/>
                  </a:gs>
                  <a:gs pos="100000">
                    <a:srgbClr val="401A5D"/>
                  </a:gs>
                </a:gsLst>
                <a:lin scaled="0"/>
              </a:gradFill>
              <a:ln>
                <a:noFill/>
              </a:ln>
              <a:effectLst/>
            </c:spPr>
          </c:dPt>
          <c:dPt>
            <c:idx val="2"/>
            <c:invertIfNegative val="0"/>
            <c:bubble3D val="0"/>
            <c:spPr>
              <a:gradFill>
                <a:gsLst>
                  <a:gs pos="0">
                    <a:srgbClr val="14CD68"/>
                  </a:gs>
                  <a:gs pos="100000">
                    <a:srgbClr val="035C7D"/>
                  </a:gs>
                </a:gsLst>
                <a:lin scaled="0"/>
              </a:gradFill>
              <a:ln>
                <a:no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rgbClr val="FFFFFF"/>
                    </a:solidFill>
                    <a:latin typeface="微软雅黑" panose="020B0503020204020204" charset="-122"/>
                    <a:ea typeface="微软雅黑" panose="020B0503020204020204" charset="-122"/>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[政务公开年报指标图标.xls]Sheet1!$N$1:$N$3</c:f>
              <c:strCache>
                <c:ptCount val="3"/>
                <c:pt idx="0">
                  <c:v>公开年度</c:v>
                </c:pt>
                <c:pt idx="1">
                  <c:v>2020年</c:v>
                </c:pt>
                <c:pt idx="2">
                  <c:v>2021年</c:v>
                </c:pt>
              </c:strCache>
            </c:strRef>
          </c:cat>
          <c:val>
            <c:numRef>
              <c:f>[政务公开年报指标图标.xls]Sheet1!$O$1:$O$3</c:f>
              <c:numCache>
                <c:formatCode>General</c:formatCode>
                <c:ptCount val="3"/>
                <c:pt idx="1">
                  <c:v>96</c:v>
                </c:pt>
                <c:pt idx="2">
                  <c:v>98</c:v>
                </c:pt>
              </c:numCache>
            </c:numRef>
          </c:val>
        </c:ser>
        <c:dLbls>
          <c:showLegendKey val="0"/>
          <c:showVal val="0"/>
          <c:showCatName val="0"/>
          <c:showSerName val="0"/>
          <c:showPercent val="0"/>
          <c:showBubbleSize val="0"/>
        </c:dLbls>
        <c:gapWidth val="60"/>
        <c:overlap val="100"/>
        <c:axId val="391473972"/>
        <c:axId val="989825167"/>
      </c:barChart>
      <c:catAx>
        <c:axId val="391473972"/>
        <c:scaling>
          <c:orientation val="minMax"/>
        </c:scaling>
        <c:delete val="0"/>
        <c:axPos val="b"/>
        <c:numFmt formatCode="General" sourceLinked="1"/>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forceAA="0"/>
          <a:lstStyle/>
          <a:p>
            <a:pPr>
              <a:defRPr lang="zh-CN" sz="900" b="0" i="0" u="none" strike="noStrike" kern="1200" baseline="0">
                <a:solidFill>
                  <a:srgbClr val="595959">
                    <a:lumMod val="65000"/>
                    <a:lumOff val="35000"/>
                  </a:srgbClr>
                </a:solidFill>
                <a:latin typeface="微软雅黑" panose="020B0503020204020204" charset="-122"/>
                <a:ea typeface="微软雅黑" panose="020B0503020204020204" charset="-122"/>
                <a:cs typeface="+mn-cs"/>
              </a:defRPr>
            </a:pPr>
          </a:p>
        </c:txPr>
        <c:crossAx val="989825167"/>
        <c:crosses val="autoZero"/>
        <c:auto val="1"/>
        <c:lblAlgn val="ctr"/>
        <c:lblOffset val="100"/>
        <c:noMultiLvlLbl val="0"/>
      </c:catAx>
      <c:valAx>
        <c:axId val="989825167"/>
        <c:scaling>
          <c:orientation val="minMax"/>
        </c:scaling>
        <c:delete val="1"/>
        <c:axPos val="l"/>
        <c:numFmt formatCode="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charset="-122"/>
                <a:ea typeface="微软雅黑" panose="020B0503020204020204" charset="-122"/>
                <a:cs typeface="+mn-cs"/>
              </a:defRPr>
            </a:pPr>
          </a:p>
        </c:txPr>
        <c:crossAx val="391473972"/>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85000"/>
        </a:srgbClr>
      </a:solidFill>
      <a:round/>
    </a:ln>
    <a:effectLst/>
  </c:spPr>
  <c:txPr>
    <a:bodyPr/>
    <a:lstStyle/>
    <a:p>
      <a:pPr>
        <a:defRPr lang="zh-CN">
          <a:latin typeface="微软雅黑" panose="020B0503020204020204" charset="-122"/>
          <a:ea typeface="微软雅黑" panose="020B050302020402020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rgbClr val="595959">
                    <a:lumMod val="65000"/>
                    <a:lumOff val="35000"/>
                  </a:srgbClr>
                </a:solidFill>
                <a:latin typeface="微软雅黑" panose="020B0503020204020204" charset="-122"/>
                <a:ea typeface="微软雅黑" panose="020B0503020204020204" charset="-122"/>
                <a:cs typeface="+mn-cs"/>
              </a:defRPr>
            </a:pPr>
            <a:r>
              <a:rPr>
                <a:solidFill>
                  <a:sysClr val="windowText" lastClr="000000"/>
                </a:solidFill>
              </a:rPr>
              <a:t>依申请公开件数年度变化情况</a:t>
            </a:r>
            <a:endParaRPr>
              <a:solidFill>
                <a:sysClr val="windowText" lastClr="000000"/>
              </a:solidFill>
            </a:endParaRPr>
          </a:p>
        </c:rich>
      </c:tx>
      <c:layout>
        <c:manualLayout>
          <c:xMode val="edge"/>
          <c:yMode val="edge"/>
          <c:x val="0.248415637860082"/>
          <c:y val="0.0259099069691529"/>
        </c:manualLayout>
      </c:layout>
      <c:overlay val="0"/>
      <c:spPr>
        <a:noFill/>
        <a:ln>
          <a:noFill/>
        </a:ln>
        <a:effectLst/>
      </c:spPr>
    </c:title>
    <c:autoTitleDeleted val="0"/>
    <c:plotArea>
      <c:layout>
        <c:manualLayout>
          <c:layoutTarget val="inner"/>
          <c:xMode val="edge"/>
          <c:yMode val="edge"/>
          <c:x val="0.0287448559670782"/>
          <c:y val="0.151227490343289"/>
          <c:w val="0.942510288065844"/>
          <c:h val="0.714683980740982"/>
        </c:manualLayout>
      </c:layout>
      <c:barChart>
        <c:barDir val="col"/>
        <c:grouping val="percentStacked"/>
        <c:varyColors val="0"/>
        <c:ser>
          <c:idx val="0"/>
          <c:order val="0"/>
          <c:spPr>
            <a:solidFill>
              <a:srgbClr val="FFFF00"/>
            </a:solidFill>
            <a:ln>
              <a:noFill/>
            </a:ln>
            <a:effectLst/>
          </c:spPr>
          <c:invertIfNegative val="0"/>
          <c:dPt>
            <c:idx val="1"/>
            <c:invertIfNegative val="0"/>
            <c:bubble3D val="0"/>
            <c:spPr>
              <a:solidFill>
                <a:srgbClr val="92D050"/>
              </a:solidFill>
              <a:ln>
                <a:noFill/>
              </a:ln>
              <a:effectLst/>
            </c:spPr>
          </c:dPt>
          <c:dPt>
            <c:idx val="2"/>
            <c:invertIfNegative val="0"/>
            <c:bubble3D val="0"/>
            <c:spPr>
              <a:solidFill>
                <a:srgbClr val="00B0F0"/>
              </a:solidFill>
              <a:ln>
                <a:no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rgbClr val="FFFFFF"/>
                    </a:solidFill>
                    <a:latin typeface="微软雅黑" panose="020B0503020204020204" charset="-122"/>
                    <a:ea typeface="微软雅黑" panose="020B0503020204020204" charset="-122"/>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'[新建 XLS 工作表.xls]Sheet1'!$A$1:$A$3</c:f>
              <c:strCache>
                <c:ptCount val="3"/>
                <c:pt idx="0">
                  <c:v>公开年度</c:v>
                </c:pt>
                <c:pt idx="1">
                  <c:v>2020年</c:v>
                </c:pt>
                <c:pt idx="2">
                  <c:v>2021年</c:v>
                </c:pt>
              </c:strCache>
            </c:strRef>
          </c:cat>
          <c:val>
            <c:numRef>
              <c:f>'[新建 XLS 工作表.xls]Sheet1'!$B$1:$B$3</c:f>
              <c:numCache>
                <c:formatCode>General</c:formatCode>
                <c:ptCount val="3"/>
                <c:pt idx="1">
                  <c:v>3</c:v>
                </c:pt>
                <c:pt idx="2">
                  <c:v>3</c:v>
                </c:pt>
              </c:numCache>
            </c:numRef>
          </c:val>
        </c:ser>
        <c:dLbls>
          <c:showLegendKey val="0"/>
          <c:showVal val="0"/>
          <c:showCatName val="0"/>
          <c:showSerName val="0"/>
          <c:showPercent val="0"/>
          <c:showBubbleSize val="0"/>
        </c:dLbls>
        <c:gapWidth val="60"/>
        <c:overlap val="100"/>
        <c:axId val="443993269"/>
        <c:axId val="159595239"/>
      </c:barChart>
      <c:catAx>
        <c:axId val="443993269"/>
        <c:scaling>
          <c:orientation val="minMax"/>
        </c:scaling>
        <c:delete val="0"/>
        <c:axPos val="b"/>
        <c:numFmt formatCode="General" sourceLinked="1"/>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forceAA="0"/>
          <a:lstStyle/>
          <a:p>
            <a:pPr>
              <a:defRPr lang="zh-CN" sz="900" b="0" i="0" u="none" strike="noStrike" kern="1200" baseline="0">
                <a:solidFill>
                  <a:srgbClr val="595959">
                    <a:lumMod val="65000"/>
                    <a:lumOff val="35000"/>
                  </a:srgbClr>
                </a:solidFill>
                <a:latin typeface="微软雅黑" panose="020B0503020204020204" charset="-122"/>
                <a:ea typeface="微软雅黑" panose="020B0503020204020204" charset="-122"/>
                <a:cs typeface="+mn-cs"/>
              </a:defRPr>
            </a:pPr>
          </a:p>
        </c:txPr>
        <c:crossAx val="159595239"/>
        <c:crosses val="autoZero"/>
        <c:auto val="1"/>
        <c:lblAlgn val="ctr"/>
        <c:lblOffset val="100"/>
        <c:noMultiLvlLbl val="0"/>
      </c:catAx>
      <c:valAx>
        <c:axId val="159595239"/>
        <c:scaling>
          <c:orientation val="minMax"/>
        </c:scaling>
        <c:delete val="1"/>
        <c:axPos val="l"/>
        <c:numFmt formatCode="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charset="-122"/>
                <a:ea typeface="微软雅黑" panose="020B0503020204020204" charset="-122"/>
                <a:cs typeface="+mn-cs"/>
              </a:defRPr>
            </a:pPr>
          </a:p>
        </c:txPr>
        <c:crossAx val="443993269"/>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85000"/>
        </a:srgbClr>
      </a:solidFill>
      <a:round/>
    </a:ln>
    <a:effectLst/>
  </c:spPr>
  <c:txPr>
    <a:bodyPr/>
    <a:lstStyle/>
    <a:p>
      <a:pPr>
        <a:defRPr lang="zh-CN">
          <a:latin typeface="微软雅黑" panose="020B0503020204020204" charset="-122"/>
          <a:ea typeface="微软雅黑" panose="020B0503020204020204"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rgbClr val="595959">
                    <a:lumMod val="65000"/>
                    <a:lumOff val="35000"/>
                  </a:srgbClr>
                </a:solidFill>
                <a:latin typeface="微软雅黑" panose="020B0503020204020204" charset="-122"/>
                <a:ea typeface="微软雅黑" panose="020B0503020204020204" charset="-122"/>
                <a:cs typeface="+mn-cs"/>
              </a:defRPr>
            </a:pPr>
            <a:r>
              <a:rPr lang="en-US" altLang="zh-CN"/>
              <a:t>2021</a:t>
            </a:r>
            <a:r>
              <a:rPr altLang="en-US"/>
              <a:t>年度依申请公开办理情况</a:t>
            </a:r>
            <a:endParaRPr lang="en-US" altLang="zh-CN"/>
          </a:p>
        </c:rich>
      </c:tx>
      <c:layout/>
      <c:overlay val="0"/>
      <c:spPr>
        <a:noFill/>
        <a:ln>
          <a:noFill/>
        </a:ln>
        <a:effectLst/>
      </c:spPr>
    </c:title>
    <c:autoTitleDeleted val="0"/>
    <c:plotArea>
      <c:layout/>
      <c:pieChart>
        <c:varyColors val="1"/>
        <c:ser>
          <c:idx val="0"/>
          <c:order val="0"/>
          <c:spPr>
            <a:ln w="19050">
              <a:noFill/>
            </a:ln>
            <a:effectLst>
              <a:outerShdw blurRad="50800" dist="38100" dir="2700000" algn="tl" rotWithShape="0">
                <a:prstClr val="black">
                  <a:alpha val="40000"/>
                </a:prstClr>
              </a:outerShdw>
            </a:effectLst>
          </c:spPr>
          <c:explosion val="4"/>
          <c:dPt>
            <c:idx val="0"/>
            <c:bubble3D val="0"/>
            <c:explosion val="0"/>
            <c:spPr>
              <a:solidFill>
                <a:srgbClr val="ED7D31"/>
              </a:solidFill>
              <a:ln w="19050">
                <a:noFill/>
              </a:ln>
              <a:effectLst>
                <a:outerShdw blurRad="50800" dist="38100" dir="2700000" algn="tl" rotWithShape="0">
                  <a:prstClr val="black">
                    <a:alpha val="40000"/>
                  </a:prstClr>
                </a:outerShdw>
              </a:effectLst>
            </c:spPr>
          </c:dPt>
          <c:dPt>
            <c:idx val="1"/>
            <c:bubble3D val="0"/>
            <c:explosion val="0"/>
            <c:spPr>
              <a:solidFill>
                <a:srgbClr val="4472C4"/>
              </a:solidFill>
              <a:ln w="19050">
                <a:noFill/>
              </a:ln>
              <a:effectLst>
                <a:outerShdw blurRad="50800" dist="38100" dir="2700000" algn="tl" rotWithShape="0">
                  <a:prstClr val="black">
                    <a:alpha val="40000"/>
                  </a:prstClr>
                </a:outerShdw>
              </a:effectLst>
            </c:spPr>
          </c:dPt>
          <c:dLbls>
            <c:dLbl>
              <c:idx val="0"/>
              <c:layout>
                <c:manualLayout>
                  <c:x val="-0.1875"/>
                  <c:y val="-0.12847222222222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5555555555556"/>
                      <c:h val="0.167361111111111"/>
                    </c:manualLayout>
                  </c15:layout>
                </c:ext>
              </c:extLst>
            </c:dLbl>
            <c:dLbl>
              <c:idx val="1"/>
              <c:layout>
                <c:manualLayout>
                  <c:x val="0.15625"/>
                  <c:y val="0.10763888888888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91666666666667"/>
                      <c:h val="0.200231481481481"/>
                    </c:manualLayout>
                  </c15:layout>
                </c:ext>
              </c:extLst>
            </c:dLbl>
            <c:numFmt formatCode="General" sourceLinked="1"/>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rgbClr val="FFFFFF"/>
                    </a:solidFill>
                    <a:latin typeface="微软雅黑" panose="020B0503020204020204" charset="-122"/>
                    <a:ea typeface="微软雅黑" panose="020B0503020204020204" charset="-122"/>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'[新建 XLS 工作表.xls]Sheet1'!$A$22:$A$23</c:f>
              <c:strCache>
                <c:ptCount val="2"/>
                <c:pt idx="0">
                  <c:v>予以公开政府信息</c:v>
                </c:pt>
                <c:pt idx="1">
                  <c:v>本机关不掌握相关政府信息</c:v>
                </c:pt>
              </c:strCache>
            </c:strRef>
          </c:cat>
          <c:val>
            <c:numRef>
              <c:f>'[新建 XLS 工作表.xls]Sheet1'!$B$22:$B$23</c:f>
              <c:numCache>
                <c:formatCode>General</c:formatCode>
                <c:ptCount val="2"/>
                <c:pt idx="0">
                  <c:v>2</c:v>
                </c:pt>
                <c:pt idx="1">
                  <c:v>1</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gradFill flip="none" rotWithShape="1">
      <a:gsLst>
        <a:gs pos="0">
          <a:srgbClr val="F2F2F2">
            <a:lumMod val="95000"/>
          </a:srgbClr>
        </a:gs>
        <a:gs pos="100000">
          <a:srgbClr val="7F7F7F">
            <a:lumMod val="50000"/>
          </a:srgbClr>
        </a:gs>
      </a:gsLst>
      <a:path path="circle">
        <a:fillToRect l="50000" t="50000" r="50000" b="50000"/>
      </a:path>
      <a:tileRect/>
    </a:gra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彩色折纸">
    <a:dk1>
      <a:sysClr val="windowText" lastClr="000000"/>
    </a:dk1>
    <a:lt1>
      <a:sysClr val="window" lastClr="FFFFFF"/>
    </a:lt1>
    <a:dk2>
      <a:srgbClr val="44546A"/>
    </a:dk2>
    <a:lt2>
      <a:srgbClr val="E7E6E6"/>
    </a:lt2>
    <a:accent1>
      <a:srgbClr val="0080D9"/>
    </a:accent1>
    <a:accent2>
      <a:srgbClr val="03D1AC"/>
    </a:accent2>
    <a:accent3>
      <a:srgbClr val="FDC167"/>
    </a:accent3>
    <a:accent4>
      <a:srgbClr val="F66956"/>
    </a:accent4>
    <a:accent5>
      <a:srgbClr val="C644EA"/>
    </a:accent5>
    <a:accent6>
      <a:srgbClr val="955CFF"/>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word/theme/themeOverride2.xml><?xml version="1.0" encoding="utf-8"?>
<a:themeOverride xmlns:a="http://schemas.openxmlformats.org/drawingml/2006/main">
  <a:clrScheme name="彩色折纸">
    <a:dk1>
      <a:sysClr val="windowText" lastClr="000000"/>
    </a:dk1>
    <a:lt1>
      <a:sysClr val="window" lastClr="FFFFFF"/>
    </a:lt1>
    <a:dk2>
      <a:srgbClr val="44546A"/>
    </a:dk2>
    <a:lt2>
      <a:srgbClr val="E7E6E6"/>
    </a:lt2>
    <a:accent1>
      <a:srgbClr val="0080D9"/>
    </a:accent1>
    <a:accent2>
      <a:srgbClr val="03D1AC"/>
    </a:accent2>
    <a:accent3>
      <a:srgbClr val="FDC167"/>
    </a:accent3>
    <a:accent4>
      <a:srgbClr val="F66956"/>
    </a:accent4>
    <a:accent5>
      <a:srgbClr val="C644EA"/>
    </a:accent5>
    <a:accent6>
      <a:srgbClr val="955CFF"/>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2022-01-27T02:27:00Z</dcterms:created>
  <dc:creator>Edifier</dc:creator>
  <cp:lastModifiedBy>Edifier</cp:lastModifiedBy>
  <dcterms:modified xsi:type="dcterms:W3CDTF">2022-01-27T02:28:51Z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12CD7F5F0BF443B9B4085396F2C1716F</vt:lpwstr>
  </property>
</Properties>
</file>