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Toc16106_WPSOffice_Level1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淄博市人民政府国有资产监督管理委员会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2020年度政府信息公开工作年度报告</w:t>
      </w:r>
    </w:p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44"/>
          <w:sz w:val="33"/>
          <w:szCs w:val="33"/>
          <w:lang w:val="en-US" w:eastAsia="zh-CN" w:bidi="ar-SA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根据《中华人民共和国政府信息公开条例》、国务院办公厅《关于政府信息公开工作年度报告有关事项的通知》和市政府办公室《关于规范编制和按时发布政府信息公开工作年度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报告的通知》要求，现将我单位2020年度政府信息公开工作情况报告如下。如对本年度报告有任何疑问，请联系淄博市国资委办公室，联系电话：0533-2950007，地址：淄博市张店区联通路118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号303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bookmarkStart w:id="1" w:name="_Toc30839_WPSOffice_Level1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一、总体情况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2020年，我委认真贯彻落实《信息公开条例》和市政府有关工作要求，紧密联系市国资委工作实际，丰富公开内容，确保政府信息公开工作有效落实。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主动公开情况。2020年，市国资委按照要求，积极做好政府信息主动公开工作，全年新增主动公开政府信息147条。积极开拓公开渠道，主动公开法规公文、国资国企、建议提案、机构职能、规划计划、财政信息、重要部署执行公开等各类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依申请公开情况。2020年，市国资委共收到政府信息公开申请3件，已经按时办结，按照申请人要求同意公开答复并提供了相关信息，在此过程中无信息公开收费情况。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55" w:lineRule="atLeast"/>
        <w:ind w:leftChars="200" w:right="0" w:rightChars="0"/>
        <w:jc w:val="center"/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4572000" cy="2743200"/>
            <wp:effectExtent l="0" t="0" r="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（三）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政府信息管理情况。围绕国资国企改革发展这一重点领域信息公开，强化信息化手段、做好政务公开基础性工作等方面，制定了全委政务公开工作方案，在委党组会议上专题研究，不断健全政府信息公开制度体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（四）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平台建设情况。在市政府门户网站设立了市国资委政府信息公开专栏，主动公布信息公开目录和信息公开指南。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（五）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监督保障情况。根据全市机构改革情况，结合市国资委工作职能变化的实际，按照“三定”方案，及时调整了全委政务公开领导小组，委办公室承担全委政务公开日常工作，有2名同志负责日常政府信息公开工作。领导小组定期对信息公开的内容进行监督检查，确保及时全面，准确翔实。根据工作需要，不定期组织政务公开培训。按时办理市政协十二届四次会议政协委员提案2件，全部予以公开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bookmarkStart w:id="2" w:name="_Toc17567_WPSOffice_Level1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二、主动公开政府信息情况</w:t>
      </w:r>
      <w:bookmarkEnd w:id="2"/>
    </w:p>
    <w:tbl>
      <w:tblPr>
        <w:tblStyle w:val="4"/>
        <w:tblW w:w="9100" w:type="dxa"/>
        <w:tblInd w:w="-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8"/>
        <w:gridCol w:w="1983"/>
        <w:gridCol w:w="2029"/>
        <w:gridCol w:w="2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100" w:type="dxa"/>
            <w:gridSpan w:val="4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信息内容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本年新制作数量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本年新</w:t>
            </w:r>
          </w:p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公开数量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对外公开</w:t>
            </w:r>
          </w:p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规章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规范性文件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00" w:type="dxa"/>
            <w:gridSpan w:val="4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信息内容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上一年项目数量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本年增/减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行政许可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其他对外管理服务事项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00" w:type="dxa"/>
            <w:gridSpan w:val="4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信息内容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上一年项目数量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本年增/减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行政处罚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行政强制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0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00" w:type="dxa"/>
            <w:gridSpan w:val="4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信息内容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上一年项目数量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行政事业性收费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100" w:type="dxa"/>
            <w:gridSpan w:val="4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信息内容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采购项目数量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68" w:type="dxa"/>
            <w:vAlign w:val="center"/>
          </w:tcPr>
          <w:p>
            <w:pPr>
              <w:pStyle w:val="6"/>
              <w:spacing w:before="134"/>
              <w:ind w:left="10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政府集中采购</w:t>
            </w:r>
          </w:p>
        </w:tc>
        <w:tc>
          <w:tcPr>
            <w:tcW w:w="198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" w:eastAsia="zh-CN"/>
              </w:rPr>
              <w:t>248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200"/>
        <w:textAlignment w:val="auto"/>
        <w:rPr>
          <w:rFonts w:hint="eastAsia" w:ascii="黑体" w:hAnsi="黑体" w:eastAsia="黑体" w:cs="黑体"/>
          <w:b/>
          <w:sz w:val="18"/>
          <w:szCs w:val="18"/>
          <w:lang w:val="en-US" w:eastAsia="zh-CN"/>
        </w:rPr>
      </w:pPr>
      <w:bookmarkStart w:id="3" w:name="_Toc16191_WPSOffice_Level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三、收到和处理政府信息公开申请情况</w:t>
      </w:r>
      <w:bookmarkEnd w:id="3"/>
    </w:p>
    <w:tbl>
      <w:tblPr>
        <w:tblStyle w:val="4"/>
        <w:tblW w:w="9025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528"/>
        <w:gridCol w:w="4068"/>
        <w:gridCol w:w="504"/>
        <w:gridCol w:w="672"/>
        <w:gridCol w:w="660"/>
        <w:gridCol w:w="504"/>
        <w:gridCol w:w="588"/>
        <w:gridCol w:w="600"/>
        <w:gridCol w:w="5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959" w:type="dxa"/>
            <w:gridSpan w:val="3"/>
            <w:vMerge w:val="restart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959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自然人</w:t>
            </w:r>
          </w:p>
        </w:tc>
        <w:tc>
          <w:tcPr>
            <w:tcW w:w="3024" w:type="dxa"/>
            <w:gridSpan w:val="5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法人或其他组织</w:t>
            </w:r>
          </w:p>
        </w:tc>
        <w:tc>
          <w:tcPr>
            <w:tcW w:w="538" w:type="dxa"/>
            <w:vMerge w:val="restart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4959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3"/>
                <w:kern w:val="2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672" w:type="dxa"/>
            <w:vAlign w:val="center"/>
          </w:tcPr>
          <w:p>
            <w:pPr>
              <w:pStyle w:val="6"/>
              <w:spacing w:before="1" w:line="240" w:lineRule="auto"/>
              <w:ind w:left="107" w:right="90"/>
              <w:jc w:val="center"/>
              <w:rPr>
                <w:rFonts w:hint="eastAsia" w:ascii="仿宋_GB2312" w:hAnsi="仿宋_GB2312" w:eastAsia="仿宋_GB2312" w:cs="仿宋_GB2312"/>
                <w:spacing w:val="-3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zh-CN" w:eastAsia="zh-CN"/>
              </w:rPr>
              <w:t>商业企业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pacing w:before="1" w:line="240" w:lineRule="auto"/>
              <w:ind w:left="108" w:right="90"/>
              <w:jc w:val="center"/>
              <w:rPr>
                <w:rFonts w:hint="eastAsia" w:ascii="仿宋_GB2312" w:hAnsi="仿宋_GB2312" w:eastAsia="仿宋_GB2312" w:cs="仿宋_GB2312"/>
                <w:spacing w:val="-3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zh-CN" w:eastAsia="zh-CN"/>
              </w:rPr>
              <w:t>科研机构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spacing w:before="138"/>
              <w:jc w:val="center"/>
              <w:rPr>
                <w:rFonts w:hint="eastAsia" w:ascii="仿宋_GB2312" w:hAnsi="仿宋_GB2312" w:eastAsia="仿宋_GB2312" w:cs="仿宋_GB2312"/>
                <w:spacing w:val="-3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zh-CN" w:eastAsia="zh-CN"/>
              </w:rPr>
              <w:t>社会公益组织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zh-CN" w:eastAsia="zh-CN"/>
              </w:rPr>
              <w:t>法律服务机构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pacing w:val="-3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zh-CN" w:eastAsia="zh-CN"/>
              </w:rPr>
              <w:t>其他</w:t>
            </w:r>
          </w:p>
        </w:tc>
        <w:tc>
          <w:tcPr>
            <w:tcW w:w="5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3"/>
                <w:kern w:val="2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959" w:type="dxa"/>
            <w:gridSpan w:val="3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spacing w:before="142"/>
              <w:ind w:left="11"/>
              <w:jc w:val="center"/>
              <w:rPr>
                <w:rFonts w:hint="eastAsia" w:ascii="Calibri" w:eastAsia="宋体"/>
                <w:sz w:val="21"/>
                <w:szCs w:val="21"/>
                <w:lang w:eastAsia="zh-CN"/>
              </w:rPr>
            </w:pPr>
            <w:r>
              <w:rPr>
                <w:rFonts w:hint="eastAsia" w:ascii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959" w:type="dxa"/>
            <w:gridSpan w:val="3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spacing w:before="142"/>
              <w:ind w:left="11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ascii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restart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  <w:p>
            <w:pPr>
              <w:pStyle w:val="6"/>
              <w:spacing w:before="138"/>
              <w:jc w:val="both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三、本年度办理结果</w:t>
            </w:r>
          </w:p>
        </w:tc>
        <w:tc>
          <w:tcPr>
            <w:tcW w:w="4596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（一）予以公开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pStyle w:val="6"/>
              <w:spacing w:before="13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（三）不予公开</w:t>
            </w: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1．属于国家秘密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2．其他法律行政法规禁止公开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3．危及“三安全一稳定”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4．保护第三方合法权益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5．属于三类内部事务信息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6．属于四类过程性信息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7．属于行政执法案卷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8．属于行政查询事项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pStyle w:val="6"/>
              <w:spacing w:before="13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（四）无法提供</w:t>
            </w: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1．本机关不掌握相关政府信息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2．没有现成信息需要另行制作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3．补正后申请内容仍不明确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pStyle w:val="6"/>
              <w:spacing w:before="13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（五）不予处理</w:t>
            </w: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1．信访举报投诉类申请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2．重复申请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3．要求提供公开出版物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4．无正当理由大量反复申请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6"/>
              <w:spacing w:before="138"/>
              <w:ind w:left="118"/>
              <w:jc w:val="left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（六）其他处理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（七）总计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959" w:type="dxa"/>
            <w:gridSpan w:val="3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四、结转下年度继续办理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pStyle w:val="6"/>
              <w:jc w:val="center"/>
              <w:rPr>
                <w:rFonts w:ascii="Calibri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bookmarkStart w:id="4" w:name="_Toc15307_WPSOffice_Level1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四、政府信息公开行政复议、行政诉讼情况</w:t>
      </w:r>
      <w:bookmarkEnd w:id="4"/>
    </w:p>
    <w:tbl>
      <w:tblPr>
        <w:tblStyle w:val="4"/>
        <w:tblW w:w="902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10"/>
        <w:gridCol w:w="580"/>
        <w:gridCol w:w="660"/>
        <w:gridCol w:w="711"/>
        <w:gridCol w:w="593"/>
        <w:gridCol w:w="591"/>
        <w:gridCol w:w="629"/>
        <w:gridCol w:w="654"/>
        <w:gridCol w:w="487"/>
        <w:gridCol w:w="690"/>
        <w:gridCol w:w="585"/>
        <w:gridCol w:w="565"/>
        <w:gridCol w:w="565"/>
        <w:gridCol w:w="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75" w:type="dxa"/>
            <w:gridSpan w:val="5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行政复议</w:t>
            </w:r>
          </w:p>
        </w:tc>
        <w:tc>
          <w:tcPr>
            <w:tcW w:w="5850" w:type="dxa"/>
            <w:gridSpan w:val="10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14" w:type="dxa"/>
            <w:vMerge w:val="restart"/>
            <w:vAlign w:val="center"/>
          </w:tcPr>
          <w:p>
            <w:pPr>
              <w:pStyle w:val="6"/>
              <w:spacing w:before="138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结果维持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结果纠正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pStyle w:val="6"/>
              <w:spacing w:before="13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其他结果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尚未审结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pStyle w:val="6"/>
              <w:spacing w:before="13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总计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未经复议直接起诉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0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结果维持</w:t>
            </w:r>
          </w:p>
        </w:tc>
        <w:tc>
          <w:tcPr>
            <w:tcW w:w="591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结果纠正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其他结果</w:t>
            </w:r>
          </w:p>
        </w:tc>
        <w:tc>
          <w:tcPr>
            <w:tcW w:w="654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尚未审结</w:t>
            </w:r>
          </w:p>
        </w:tc>
        <w:tc>
          <w:tcPr>
            <w:tcW w:w="487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总计</w:t>
            </w:r>
          </w:p>
        </w:tc>
        <w:tc>
          <w:tcPr>
            <w:tcW w:w="690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结果维持</w:t>
            </w:r>
          </w:p>
        </w:tc>
        <w:tc>
          <w:tcPr>
            <w:tcW w:w="585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结果纠正</w:t>
            </w:r>
          </w:p>
        </w:tc>
        <w:tc>
          <w:tcPr>
            <w:tcW w:w="565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其他结果</w:t>
            </w:r>
          </w:p>
        </w:tc>
        <w:tc>
          <w:tcPr>
            <w:tcW w:w="565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尚未审结</w:t>
            </w:r>
          </w:p>
        </w:tc>
        <w:tc>
          <w:tcPr>
            <w:tcW w:w="491" w:type="dxa"/>
            <w:vAlign w:val="center"/>
          </w:tcPr>
          <w:p>
            <w:pPr>
              <w:pStyle w:val="6"/>
              <w:spacing w:before="138"/>
              <w:ind w:left="118"/>
              <w:jc w:val="center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1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7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8" w:firstLineChars="200"/>
        <w:textAlignment w:val="auto"/>
        <w:rPr>
          <w:rFonts w:hint="default" w:ascii="Times New Roman" w:hAnsi="Times New Roman" w:eastAsia="仿宋"/>
          <w:spacing w:val="-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bookmarkStart w:id="5" w:name="_Toc9170_WPSOffice_Level1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五、存在的主要问题及改进措施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 xml:space="preserve"> 年，市国资委政府信息公开工作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通过对上一年度工作不足深入研究整改，积极主动做好政务公开工作，较好的公开了有关政策、事项、工作。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>虽然取得了一些成效， 但仍存在一些问题和不足。如：政府信息公开的内容不够细化，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政策解读公开形式单一、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>主动公开的力度有待提高；信息公开平台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互动环节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>不完善，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新媒体新渠道宣传能力不足，解读新政策力度不强等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下一步我们将根据国家、省、市政务公开重点工作的具体要求，进一步提高认识，加大工作力度，促进依法行政，把信息公开工作落实到实处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下一步工作安排：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>一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>在完善门户网站作为政府信息公开“主阵地”的基础上，建设完成并发挥好“国资云”平台作用， 进一步丰富信息公开渠道，确保政府信息“应公开、尽公开”。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 xml:space="preserve">二是加强信息公开受理工作。健全完善政府信息公开受理工作机制，及时做好依申请公开、网上咨询等事项的受理和答复工作，提高政府信息公开的便利性，更好地为社会公众提供优质高效的服务。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>三是提升队伍水平。强化信息公开责任意识，加强理论学习和业务培训，增强政府信息公开工作人员工作能力。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zh-CN" w:eastAsia="zh-CN" w:bidi="ar"/>
        </w:rPr>
        <w:t>四是完善政府系统政务新媒体工作。严格按照“一个单位在一个平台只开一个账号”的工作原则，做强做优主账号，对功能相近、关注度低、更新不及时、无力运维的政务新媒体，要坚决关停注销，增强政府系统政务新媒体宣传工作。</w:t>
      </w:r>
      <w:bookmarkStart w:id="6" w:name="_Toc10730_WPSOffice_Level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六、其他需要报告的事项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无。</w:t>
      </w:r>
    </w:p>
    <w:p/>
    <w:sectPr>
      <w:pgSz w:w="11906" w:h="16838"/>
      <w:pgMar w:top="1701" w:right="1417" w:bottom="12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31EB62-5490-4449-B0F5-F86549E8CF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E97D01-1FA5-4E28-B496-696589D7A89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0DF11B9-3D45-4147-B45D-5954C286BDD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3472FDFB-8AD0-469E-AEFC-733254F910D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9A43DB3-500F-4BB3-AFD6-700BEFBCB2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61CDF71-CF95-4F35-BA71-5E1A57E451A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AF52F4"/>
    <w:multiLevelType w:val="singleLevel"/>
    <w:tmpl w:val="D5AF52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34E61"/>
    <w:rsid w:val="20634E61"/>
    <w:rsid w:val="2F6F58D5"/>
    <w:rsid w:val="3C5212B0"/>
    <w:rsid w:val="50107ABC"/>
    <w:rsid w:val="5439491E"/>
    <w:rsid w:val="5DA17849"/>
    <w:rsid w:val="612A4F44"/>
    <w:rsid w:val="66BE1DEF"/>
    <w:rsid w:val="6C415089"/>
    <w:rsid w:val="6E5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E:\&#22269;&#36164;&#22996;\&#22269;&#36164;&#22996;&#25919;&#21153;&#20844;&#24320;\&#25919;&#21153;&#20844;&#24320;2020&#29256;\12&#25919;&#24220;&#20449;&#24687;&#20844;&#24320;&#24180;&#24230;&#25253;&#21578;\&#24037;&#20316;&#37096;&#38376;&#20449;&#24687;&#20844;&#24320;&#24180;&#24230;&#25253;&#21578;\2020&#24180;&#25253;&#20449;&#2468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500">
                <a:latin typeface="仿宋_GB2312" panose="02010609030101010101" charset="-122"/>
                <a:ea typeface="仿宋_GB2312" panose="02010609030101010101" charset="-122"/>
              </a:rPr>
              <a:t>市国资委共收到政府信息公开情况</a:t>
            </a:r>
            <a:endParaRPr sz="1500">
              <a:latin typeface="仿宋_GB2312" panose="02010609030101010101" charset="-122"/>
              <a:ea typeface="仿宋_GB2312" panose="02010609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[2020年报信息.xls]Sheet1!$A$1:$A$2</c:f>
              <c:strCache>
                <c:ptCount val="2"/>
                <c:pt idx="0">
                  <c:v>主动公开</c:v>
                </c:pt>
                <c:pt idx="1">
                  <c:v>部分公开</c:v>
                </c:pt>
              </c:strCache>
            </c:strRef>
          </c:cat>
          <c:val>
            <c:numRef>
              <c:f>[2020年报信息.xls]Sheet1!$B$1:$B$2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2021-01-22T06:02:00Z</dcterms:created>
  <dc:creator>sunny</dc:creator>
  <cp:lastModifiedBy>sunny</cp:lastModifiedBy>
  <dcterms:modified xsi:type="dcterms:W3CDTF">2021-01-22T06:55:25Z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